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disaster relief and recovery.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418.005(a), (b), (c), and (e),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elected law enforcement officer or county judge, or an appointed public officer of the state or of a political subdivision, who has management or supervisory responsibilities and: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whose position description, job duties, or assignment includes emergency management responsibilities;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who plays a role in emergency preparedness, response, or recovery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emergency management coordinator designated under Section 418.1015(c) by the emergency management director of a county with a population of 500,000 or more</w:t>
      </w:r>
      <w:r>
        <w:t xml:space="preserve">.</w:t>
      </w:r>
    </w:p>
    <w:p w:rsidR="003F3435" w:rsidRDefault="0032493E">
      <w:pPr>
        <w:spacing w:line="480" w:lineRule="auto"/>
        <w:ind w:firstLine="720"/>
        <w:jc w:val="both"/>
      </w:pPr>
      <w:r>
        <w:t xml:space="preserve">(b)</w:t>
      </w:r>
      <w:r xml:space="preserve">
        <w:t> </w:t>
      </w:r>
      <w:r xml:space="preserve">
        <w:t> </w:t>
      </w:r>
      <w:r>
        <w:t xml:space="preserve">Each person described by Subsection (a) shall complete a course of training provided or approved by the division of not less than three hours regarding the responsibilities of state and local governments under this chapter not later than the 180th day after the date the person:</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officer;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otherwise assumes responsibilities as a public officer, if the person is not required to take an oath of office to assume the person's duties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designated as an emergency management coordinator under Section 418.1015(c)</w:t>
      </w:r>
      <w:r>
        <w:t xml:space="preserve">.</w:t>
      </w:r>
    </w:p>
    <w:p w:rsidR="003F3435" w:rsidRDefault="0032493E">
      <w:pPr>
        <w:spacing w:line="480" w:lineRule="auto"/>
        <w:ind w:firstLine="720"/>
        <w:jc w:val="both"/>
      </w:pPr>
      <w:r>
        <w:t xml:space="preserve">(c)</w:t>
      </w:r>
      <w:r xml:space="preserve">
        <w:t> </w:t>
      </w:r>
      <w:r xml:space="preserve">
        <w:t> </w:t>
      </w:r>
      <w:r>
        <w:t xml:space="preserve">The division shall develop and provide a training course related to the emergency management responsibilities of state-level officers and a training course related to the emergency management responsibilities of officers </w:t>
      </w:r>
      <w:r>
        <w:rPr>
          <w:u w:val="single"/>
        </w:rPr>
        <w:t xml:space="preserve">and emergency management coordinators</w:t>
      </w:r>
      <w:r>
        <w:t xml:space="preserve"> of political subdivisions.  The division shall ensure that the training courses satisfy the requirements of Subsection (b).</w:t>
      </w:r>
    </w:p>
    <w:p w:rsidR="003F3435" w:rsidRDefault="0032493E">
      <w:pPr>
        <w:spacing w:line="480" w:lineRule="auto"/>
        <w:ind w:firstLine="720"/>
        <w:jc w:val="both"/>
      </w:pPr>
      <w:r>
        <w:t xml:space="preserve">(e)</w:t>
      </w:r>
      <w:r xml:space="preserve">
        <w:t> </w:t>
      </w:r>
      <w:r xml:space="preserve">
        <w:t> </w:t>
      </w:r>
      <w:r>
        <w:t xml:space="preserve">The division or other entity providing the training shall provide a certificate of course completion to </w:t>
      </w:r>
      <w:r>
        <w:rPr>
          <w:u w:val="single"/>
        </w:rPr>
        <w:t xml:space="preserve">a person</w:t>
      </w:r>
      <w:r>
        <w:t xml:space="preserve"> [</w:t>
      </w:r>
      <w:r>
        <w:rPr>
          <w:strike/>
        </w:rPr>
        <w:t xml:space="preserve">public officers</w:t>
      </w:r>
      <w:r>
        <w:t xml:space="preserve">] who </w:t>
      </w:r>
      <w:r>
        <w:rPr>
          <w:u w:val="single"/>
        </w:rPr>
        <w:t xml:space="preserve">completes</w:t>
      </w:r>
      <w:r>
        <w:t xml:space="preserve"> [</w:t>
      </w:r>
      <w:r>
        <w:rPr>
          <w:strike/>
        </w:rPr>
        <w:t xml:space="preserve">complete</w:t>
      </w:r>
      <w:r>
        <w:t xml:space="preserve">] the training required by this section.  A </w:t>
      </w:r>
      <w:r>
        <w:rPr>
          <w:u w:val="single"/>
        </w:rPr>
        <w:t xml:space="preserve">person</w:t>
      </w:r>
      <w:r>
        <w:t xml:space="preserve"> [</w:t>
      </w:r>
      <w:r>
        <w:rPr>
          <w:strike/>
        </w:rPr>
        <w:t xml:space="preserve">public officer</w:t>
      </w:r>
      <w:r>
        <w:t xml:space="preserve">] who completes the training required by this section shall maintain and make available for public inspection the record of the </w:t>
      </w:r>
      <w:r>
        <w:rPr>
          <w:u w:val="single"/>
        </w:rPr>
        <w:t xml:space="preserve">person's</w:t>
      </w:r>
      <w:r>
        <w:t xml:space="preserve"> [</w:t>
      </w:r>
      <w:r>
        <w:rPr>
          <w:strike/>
        </w:rPr>
        <w:t xml:space="preserve">public officer's</w:t>
      </w:r>
      <w:r>
        <w:t xml:space="preserve">] completion of the training.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418, Government Code, is amended by adding Section 418.054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418.054.</w:t>
      </w:r>
      <w:r>
        <w:rPr>
          <w:u w:val="single"/>
        </w:rPr>
        <w:t xml:space="preserve"> </w:t>
      </w:r>
      <w:r>
        <w:rPr>
          <w:u w:val="single"/>
        </w:rPr>
        <w:t xml:space="preserve"> </w:t>
      </w:r>
      <w:r>
        <w:rPr>
          <w:u w:val="single"/>
        </w:rPr>
        <w:t xml:space="preserve">DISASTER RECOVERY TASK FORCE.  (a) The division shall develop a disaster recovery task force to operate throughout the long-term recovery period following natural and man-made disasters by providing specialized assistance for communities and individuals to address financial issues, available federal assistance programs, and recovery and resiliency planning to speed recovery efforts at the local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disaster recovery task force may include and use the resources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appropriate state agencies, including institutions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organized volunteer groups.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disaster recovery task force shall develop procedures for preparing and issuing a report listing each project related to a disaster that qualifies for federal assistance.  A report must be submitted to the appropriate federal agencies as soon as practicable after any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Once each quarter, the disaster recovery task force shall brief members of the legislature, legislative staff, and state agency personnel on the response and recovery efforts for previous disasters and any preparation or planning for potential future hazards, threats, or disasters.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418.102,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emergency management program required by Subsection (a) and maintained by a county, or in which a county participates, must provide for catastrophic debris management.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33.604, Natural Resources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money described by Subsection (b), the account consists of money transferred to the account under Section 156.252, Tax Code.  This subsection expires September 1, 2031.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 Chapter 156, Tax Code, is amended by adding Section 156.252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156.252.</w:t>
      </w:r>
      <w:r>
        <w:rPr>
          <w:u w:val="single"/>
        </w:rPr>
        <w:t xml:space="preserve"> </w:t>
      </w:r>
      <w:r>
        <w:rPr>
          <w:u w:val="single"/>
        </w:rPr>
        <w:t xml:space="preserve"> </w:t>
      </w:r>
      <w:r>
        <w:rPr>
          <w:u w:val="single"/>
        </w:rPr>
        <w:t xml:space="preserve">TEMPORARY ALLOCATION OF CERTAIN REVENUE TO BENEFIT COASTAL COUNTIES.  (a)</w:t>
      </w:r>
      <w:r>
        <w:rPr>
          <w:u w:val="single"/>
        </w:rPr>
        <w:t xml:space="preserve"> </w:t>
      </w:r>
      <w:r>
        <w:rPr>
          <w:u w:val="single"/>
        </w:rPr>
        <w:t xml:space="preserve"> </w:t>
      </w:r>
      <w:r>
        <w:rPr>
          <w:u w:val="single"/>
        </w:rPr>
        <w:t xml:space="preserve">In this section, "coastal county" means any county adjacent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Gulf of Mexico;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Corpus Christi Bay.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with the state fiscal year beginning September 1, 2021, and except as provided by Subsection (d), the comptroller shall, not later than September 30 of each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compute the amount of revenue derived from the collection of taxes imposed under this chapter at a rate of two percent and received from hotels located in coastal counties during the preceding state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that amount to the coastal erosion response account created under Section 33.604, Natural Resources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Revenue transferred under this section may be appropriated only to the General Land Office for a purpose consistent with Subchapter H, Chapter 33, Natural Resources Code, that benefits a coastal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Revenue derived from the collection of taxes under this chapter that is placed in a suspense account under Section 151.429(h) or under Section 2303.5055(f), Government Code, is excluded from the computation required by Subsection (b)(1).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2031.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March 1, 2020, each person who is required to complete a course of training under Section 418.005, Government Code, as amended by this Act, must complete the training.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2020, each county shall provide for catastrophic debris management in the county's emergency management program or in a program in which the county participates as required by Section 418.102(a-1), Government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Texas Division of Emergency Management is required to implement a provision of this Act only if the legislature appropriates money specifically for that purpose.  If the legislature does not appropriate money specifically for that purpose, the division </w:t>
      </w:r>
      <w:r>
        <w:t xml:space="preserve">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 was passed by the House on April 11, 2019, by the following vote:</w:t>
      </w:r>
      <w:r xml:space="preserve">
        <w:t> </w:t>
      </w:r>
      <w:r xml:space="preserve">
        <w:t> </w:t>
      </w:r>
      <w:r>
        <w:t xml:space="preserve">Yeas 145, Nays 0, 1 present, not voting; and that the House concurred in Senate amendments to H.B. No. 6 on May 24, 2019, by the following vote:</w:t>
      </w:r>
      <w:r xml:space="preserve">
        <w:t> </w:t>
      </w:r>
      <w:r xml:space="preserve">
        <w:t> </w:t>
      </w:r>
      <w:r>
        <w:t xml:space="preserve">Yeas 140,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6 was passed by the Senate, with amendments, on May 22,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