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86R13360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developing a disaster recovery task force to assist with long-term disaster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RECOVERY TASK FORCE.  (a) The division shall develop a disaster recovery task force to operate throughout the long-term recovery period following natural and man-made disasters by providing specialized assistance for communities and individuals to address financial issues, available federal assistance programs, and recovery and resiliency planning to speed recovery efforts at the local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disaster recovery task force may include and use the resources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A&amp;M University System, including the Texas A&amp;M AgriLife Extension Service, the Texas A&amp;M Engineering Extension Service, and the Texas A&amp;M Forest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appropriate state agencies;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organized volunteer groups.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disaster recovery task force shall develop procedures for preparing and issuing a report listing each project related to a disaster that qualifies for federal assistance.  A report must be submitted to the appropriate federal agencies as soon as practicable after any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Once each quarter, the disaster recovery task force shall brief members of the legislature, legislative staff, and state agency personnel on the response and recovery efforts for previous disasters and any preparation or planning for potential future hazards, threats, or disasters.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