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16,</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developing a disaster recovery task force to assist with long-term disaster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state agencies, including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