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86R5828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certain sexual offenses and the collection, analysis, and preservation of evidence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w:t>
      </w:r>
      <w:r>
        <w:rPr>
          <w:u w:val="single"/>
        </w:rPr>
        <w:t xml:space="preserve">the matter: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not yet been subjected to forensic DNA testing;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has been</w:t>
      </w:r>
      <w:r>
        <w:t xml:space="preserve">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38.43,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w:t>
      </w:r>
      <w:r>
        <w:rPr>
          <w:u w:val="single"/>
        </w:rPr>
        <w:t xml:space="preserve">, other than the contents of a sexual assault examination kit subject to Subsection (c-1),</w:t>
      </w:r>
      <w:r>
        <w:t xml:space="preserve">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w:t>
      </w:r>
      <w:r>
        <w:rPr>
          <w:u w:val="single"/>
        </w:rPr>
        <w:t xml:space="preserve">any</w:t>
      </w:r>
      <w:r>
        <w:t xml:space="preserve"> [</w:t>
      </w:r>
      <w:r>
        <w:rPr>
          <w:strike/>
        </w:rPr>
        <w:t xml:space="preserve">the</w:t>
      </w:r>
      <w:r>
        <w:t xml:space="preserve">]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50 years, or until any applicable statute of limitations has expired, whichever period is longer. </w:t>
      </w:r>
      <w:r>
        <w:rPr>
          <w:u w:val="single"/>
        </w:rPr>
        <w:t xml:space="preserve"> </w:t>
      </w:r>
      <w:r>
        <w:rPr>
          <w:u w:val="single"/>
        </w:rP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56.065, Code of Criminal Procedure, is amended by amending Subsection (g) and adding Subsection (g-1) to read as follows:</w:t>
      </w:r>
    </w:p>
    <w:p w:rsidR="003F3435" w:rsidRDefault="0032493E">
      <w:pPr>
        <w:spacing w:line="480" w:lineRule="auto"/>
        <w:ind w:firstLine="720"/>
        <w:jc w:val="both"/>
      </w:pPr>
      <w:r>
        <w:t xml:space="preserve">(g)</w:t>
      </w:r>
      <w:r xml:space="preserve">
        <w:t> </w:t>
      </w:r>
      <w:r xml:space="preserve">
        <w:t>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article to a crime laboratory or other suitable location designated by the public safety director of the department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receiving entity</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w:t>
      </w:r>
      <w:r>
        <w:t xml:space="preserve"> [</w:t>
      </w:r>
      <w:r>
        <w:rPr>
          <w:strike/>
        </w:rPr>
        <w:t xml:space="preserve">The receiving</w:t>
      </w:r>
      <w:r>
        <w:t xml:space="preserve">] entity </w:t>
      </w:r>
      <w:r>
        <w:rPr>
          <w:u w:val="single"/>
        </w:rPr>
        <w:t xml:space="preserve">receiving evidence described by Subsection (g)</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w:t>
      </w:r>
      <w:r>
        <w:rPr>
          <w:u w:val="single"/>
        </w:rPr>
        <w:t xml:space="preserve">on which</w:t>
      </w:r>
      <w:r>
        <w:t xml:space="preserve"> [</w:t>
      </w:r>
      <w:r>
        <w:rPr>
          <w:strike/>
        </w:rPr>
        <w:t xml:space="preserve">the</w:t>
      </w:r>
      <w:r>
        <w:t xml:space="preserv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420.003(1-a), (1-d), (7), and (8), Government Code, are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t xml:space="preserve">(7)</w:t>
      </w:r>
      <w:r xml:space="preserve">
        <w:t> </w:t>
      </w:r>
      <w:r xml:space="preserve">
        <w:t> </w:t>
      </w:r>
      <w:r>
        <w:t xml:space="preserve">"Sexual assault program" means any local public or private nonprofit corporation, independent of a law enforcement agency or prosecutor's office, that is operated as an independent program or as part of a municipal, county, or state agency and that provides the minimum services to adult survivors of stranger and non-stranger </w:t>
      </w:r>
      <w:r>
        <w:rPr>
          <w:u w:val="single"/>
        </w:rPr>
        <w:t xml:space="preserve">sex offenses</w:t>
      </w:r>
      <w:r>
        <w:t xml:space="preserve"> [</w:t>
      </w:r>
      <w:r>
        <w:rPr>
          <w:strike/>
        </w:rPr>
        <w:t xml:space="preserve">sexual assault</w:t>
      </w:r>
      <w:r>
        <w:t xml:space="preserve">].</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the law enforcement agency investigating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to comply with evidence collection procedures or requirements under this section does not affect the admissibility of the evidence in a trial of the offense.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 </w:t>
      </w:r>
      <w:r>
        <w:rPr>
          <w:u w:val="single"/>
        </w:rPr>
        <w:t xml:space="preserve">but not later than the 90th day after the date on which the laboratory received the evidence,</w:t>
      </w:r>
      <w:r>
        <w:t xml:space="preserve"> shall complete its analysis of </w:t>
      </w:r>
      <w:r>
        <w:rPr>
          <w:u w:val="single"/>
        </w:rPr>
        <w:t xml:space="preserve">any</w:t>
      </w:r>
      <w:r>
        <w:t xml:space="preserve">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appropriated funds to employ personnel and purchase equipment and technology necessary to comply with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420.044.</w:t>
      </w:r>
      <w:r>
        <w:rPr>
          <w:u w:val="single"/>
        </w:rPr>
        <w:t xml:space="preserve"> </w:t>
      </w:r>
      <w:r>
        <w:rPr>
          <w:u w:val="single"/>
        </w:rPr>
        <w:t xml:space="preserve"> </w:t>
      </w:r>
      <w:r>
        <w:rPr>
          <w:u w:val="single"/>
        </w:rPr>
        <w:t xml:space="preserve">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420.045.</w:t>
      </w:r>
      <w:r>
        <w:rPr>
          <w:u w:val="single"/>
        </w:rPr>
        <w:t xml:space="preserve"> </w:t>
      </w:r>
      <w:r>
        <w:rPr>
          <w:u w:val="single"/>
        </w:rPr>
        <w:t xml:space="preserve"> </w:t>
      </w:r>
      <w:r>
        <w:rPr>
          <w:u w:val="single"/>
        </w:rPr>
        <w:t xml:space="preserve">AUDIT OF UNANALYZED EVIDENCE OF SEXUAL ASSAULT OR OTHER SEX OFFENSE.  (a)  A law enforcement agency in possession of evidence of a sexual assault or other sex offense that has not been submitted for laboratory analysis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October 15, 2019, submit to the department a list of the agency's active criminal cases for which evidence of a sexual assault or other sex offense has not yet been submitted for laboratory analysis;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April 1, 2020, and subject to the availability of laboratory storage space, submit, as appropriate, to the department or a public accredited crime laboratory all evidence of a sexual assault or other sex offense pertaining to those active criminal cases that has not yet been submitted for laboratory analysis;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law enforcement agency submits evidence under Subdivision (2) to a laboratory other than a department laboratory, notify the department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laboratory to which the evidence was 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analysis completed by the laboratory to which the evidence was sent and the date on which the analysis was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February 15, 2021, the department shall submit to the governor and the appropriate standing committees of the senate and the house of representatives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projected timeline for the completion of laboratory analyses, in accordance with this chapter, of all unanalyzed evidence of a sexual assault or other sex offense submitted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for any necessary funding to accomplish the analyses under Subdivision (1), including a request for a grant of money under Article 102.056(e), Code of Criminal Procedure, if money is available under that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 application materials for requests made as required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department determines that outsourcing of a portion of the submitted evidence is necessary for timely analyses of the evidence: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proposal for determining which evidence should be outsourced;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laboratories the department determines are capable of completing the outsourced analyses.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of a sexual assault or other sex offense submitted to the department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of a sexual assault or other sex offense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supplement funding of laboratory analyses under this section, the department may solicit and receive grants, gifts, or donations of money from the federal government or private sources as described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420.042(c), Government Code, applies only to sexual assault evidence and evidence of other sex offenses received by a public accredited crime laboratory on or after the effective date of this Act.  Evidence received by a public accredited crime laboratory before the effective date of this Act is governed by the law in effect on the date the evidence was received,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420.045, Government Code, as added by this Act, applies to evidence of a sexual assault or other sex offense in possession of a law enforcement agency on September 1, 2019.</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