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and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service rendered on or after September 1, 2017, </w:t>
      </w:r>
      <w:r>
        <w:rPr>
          <w:u w:val="single"/>
        </w:rPr>
        <w:t xml:space="preserve">and before September 1, 2020,</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w:t>
      </w:r>
      <w:r>
        <w:rPr>
          <w:u w:val="single"/>
        </w:rPr>
        <w:t xml:space="preserve">compensation</w:t>
      </w:r>
      <w:r>
        <w:t xml:space="preserve"> </w:t>
      </w:r>
      <w:r>
        <w:t xml:space="preserve">[</w:t>
      </w:r>
      <w:r>
        <w:rPr>
          <w:strike/>
        </w:rPr>
        <w:t xml:space="preserve">service</w:t>
      </w:r>
      <w:r>
        <w:t xml:space="preserve">] relates is less than the state contribution rate established for the 2015 fiscal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2020,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7.7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under Section 825.404(a-2) for the applicable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825.404, Government Code,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w:t>
      </w:r>
      <w:r>
        <w:rPr>
          <w:u w:val="single"/>
        </w:rPr>
        <w:t xml:space="preserve">and subject to Subsection (a-2)</w:t>
      </w:r>
      <w:r>
        <w:t xml:space="preserve">,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w:t>
      </w:r>
      <w:r>
        <w:rPr>
          <w:u w:val="single"/>
        </w:rPr>
        <w:t xml:space="preserve">this section</w:t>
      </w:r>
      <w:r>
        <w:t xml:space="preserve"> [</w:t>
      </w:r>
      <w:r>
        <w:rPr>
          <w:strike/>
        </w:rPr>
        <w:t xml:space="preserve">Subsection (a)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state contribution required by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fiscal year beginning on September 1, 2020, 6.8 percent of the aggregate annual compensation of all members of the retirement system during that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fiscal year beginning on September 1, 2021, 7.8 percent of the aggregate annual compensation of all members of the retirement system during that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fiscal year beginning on September 1, 2022, 8.05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fiscal year beginning on September 1, 2023, 8.3 percent of the aggregate annual compensation of all members of the retirement system during that fiscal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fiscal year beginning on September 1, 2024, 8.55 percent of the aggregate annual compensation of all members of the retirement system during that fiscal year;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the fiscal year beginning on September 1, 2025, and each subsequent fiscal year, 8.8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 (i) of this section, the supplemental payment is payable not later than September 2021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2018.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2018.  The supplemental payment is in addition to the guaranteed number of payments under Section 824.402(a)(3), Government Code, Section 824.204(c)(3) or (4), Government Code, or Section 824.308(c),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state shall appropriate to the Teacher Retirement System of Texas an amount equal to the cost of the one-time supplemental payment required by this section.  This amount is in addition to the amount the state is required to contribute to the Teacher Retirement System of Texas under Section 825.404, Government Code. If the state does not transfer the appropriated amount described by this subsection, the Teacher Retirement System of Texas shall not issue the one-time supplemental payment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