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86R8924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grants and programs for researching and treating behavioral health and psychiatric issues.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58A.024,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shall award a supplemental grant to a new or existing graduate medical education program to enable the program to increase the number of residency positions, including fellowship positions, leading to a medical specialty in the diagnosis and treatment of psychiatric and associated behavioral health issues affecting children and adolescents.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58A.0245(a), Education Code, is amended to read as follows:</w:t>
      </w:r>
    </w:p>
    <w:p w:rsidR="003F3435" w:rsidRDefault="0032493E">
      <w:pPr>
        <w:spacing w:line="480" w:lineRule="auto"/>
        <w:ind w:firstLine="720"/>
        <w:jc w:val="both"/>
      </w:pPr>
      <w:r>
        <w:t xml:space="preserve">(a)</w:t>
      </w:r>
      <w:r xml:space="preserve">
        <w:t> </w:t>
      </w:r>
      <w:r xml:space="preserve">
        <w:t> </w:t>
      </w:r>
      <w:r>
        <w:t xml:space="preserve">If the board determines that the number of first-year residency positions proposed by eligible applicants under Sections 58A.023 and 58A.024 exceeds the number of first-year residency positions for which grant funding under those sections is appropriated, in awarding grants under those sections the board </w:t>
      </w:r>
      <w:r>
        <w:rPr>
          <w:u w:val="single"/>
        </w:rPr>
        <w:t xml:space="preserve">may not award a supplemental grant described by Section 58A.024(a-1) but</w:t>
      </w:r>
      <w:r>
        <w:t xml:space="preserve"> shall </w:t>
      </w:r>
      <w:r>
        <w:rPr>
          <w:u w:val="single"/>
        </w:rPr>
        <w:t xml:space="preserve">otherwise</w:t>
      </w:r>
      <w:r>
        <w:t xml:space="preserve"> prioritize the awarding of new grants to medical specialties determined by the board to be at critical shortage levels.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61, Education Code, is amended by adding Subchapter LL to read as follows:</w:t>
      </w:r>
    </w:p>
    <w:p w:rsidR="003F3435" w:rsidRDefault="0032493E">
      <w:pPr>
        <w:spacing w:line="480" w:lineRule="auto"/>
        <w:jc w:val="center"/>
      </w:pPr>
      <w:r>
        <w:rPr>
          <w:u w:val="single"/>
        </w:rPr>
        <w:t xml:space="preserve">SUBCHAPTER LL.  CHILD AND ADOLESCENT</w:t>
      </w:r>
    </w:p>
    <w:p w:rsidR="003F3435" w:rsidRDefault="0032493E">
      <w:pPr>
        <w:spacing w:line="480" w:lineRule="auto"/>
        <w:jc w:val="center"/>
      </w:pPr>
      <w:r>
        <w:rPr>
          <w:u w:val="single"/>
        </w:rPr>
        <w:t xml:space="preserve">PSYCHIATRIC NURSING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"Advanced practice registered nurse" has the meaning assigned to that term by Section 301.152,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"Advanced practice registered nursing program" or "nursing program" means an educational program offered by a public or private institution of higher education to prepare students for board certification as advanced practice registered nurses.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"Child-adolescent psychiatrist" means a licensed physician who specializes in the diagnosis and treatment of psychiatric and associated behavioral health issues affecting children and adolescents.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"Grant program" means the child and adolescent psychiatric nursing grant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61.9852.</w:t>
      </w:r>
      <w:r>
        <w:rPr>
          <w:u w:val="single"/>
        </w:rPr>
        <w:t xml:space="preserve"> </w:t>
      </w:r>
      <w:r>
        <w:rPr>
          <w:u w:val="single"/>
        </w:rPr>
        <w:t xml:space="preserve"> </w:t>
      </w:r>
      <w:r>
        <w:rPr>
          <w:u w:val="single"/>
        </w:rPr>
        <w:t xml:space="preserve">ESTABLISHMENT; PURPOSE.  (a)  A child and adolescent psychiatric nursing grant program is established.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administer the grant program to award grants to advanced practice registered nursing programs to enable those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support the salaries of a program's faculty and staff;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enrollments and graduations of students who seek to become advanced practice registered nurses specializing in child and adolescent psychiatric nursing;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recruit child-adolescent psychiatrists to help provide the clinical instruction necessary for those students to prepare for board certification in that specialty;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or expand the number of postgraduate residency and fellowship training positions for advanced practice registered nurses to receive specialized training in child and adolescent psychiatric nursing.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61.9853.</w:t>
      </w:r>
      <w:r>
        <w:rPr>
          <w:u w:val="single"/>
        </w:rPr>
        <w:t xml:space="preserve"> </w:t>
      </w:r>
      <w:r>
        <w:rPr>
          <w:u w:val="single"/>
        </w:rPr>
        <w:t xml:space="preserve"> </w:t>
      </w:r>
      <w:r>
        <w:rPr>
          <w:u w:val="single"/>
        </w:rPr>
        <w:t xml:space="preserve">GRANTS.  (a)  A grant awarded to a nursing program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expended exclusively on costs related to the purpose for which the grant is awarded under Section 61.9852(b);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contingent on the advanced practice registered nursing program's having been approved as an advanced practice registered nursing program by the board or the Texas Board of Nursing, as appropriate;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contingent on the nursing program's being in good standing with the Texas Board of Nursing or other accrediting body.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of Subsection (a), a grant awarded for a purpose described by Section 61.9852(b)(2) is contingent on the nursing program's ability to enroll and graduate additional students, including having the necessary classroom space and clinical slots.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nursing program shall return to the board any money not expended exclusively on the costs described by Subsection (a)(1).</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61.9854.</w:t>
      </w:r>
      <w:r>
        <w:rPr>
          <w:u w:val="single"/>
        </w:rPr>
        <w:t xml:space="preserve"> </w:t>
      </w:r>
      <w:r>
        <w:rPr>
          <w:u w:val="single"/>
        </w:rPr>
        <w:t xml:space="preserve"> </w:t>
      </w:r>
      <w:r>
        <w:rPr>
          <w:u w:val="single"/>
        </w:rPr>
        <w:t xml:space="preserve">APPLICATION PROCESS.  (a)  The board by rule shall establish a process under which a public or private institution of higher education that offers an advanced practice registered nursing program may apply for a grant under this subchapter and the board, contingent on appropriations of money for the grants, selects one or more applicants to receive a grant based on criteria established by board rule.</w:t>
      </w:r>
      <w:r>
        <w:rPr>
          <w:u w:val="single"/>
        </w:rPr>
        <w:t xml:space="preserve"> </w:t>
      </w:r>
      <w:r>
        <w:rPr>
          <w:u w:val="single"/>
        </w:rPr>
        <w:t xml:space="preserve"> </w:t>
      </w:r>
      <w:r>
        <w:rPr>
          <w:u w:val="single"/>
        </w:rPr>
        <w:t xml:space="preserve">The criteria must include the institution's agreement that the institution's nursing program will use the grant money for the purpose for which the grant is awarded under Section 61.9852(b).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application under this subchapter must require the institution applying for a grant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benchmarks for determining adequate and timely progress toward achieving the purpose for which the grant is awarded under Section 61.9852(b);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applicable,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respect to students who seek to become advanced practice registered nurses specializing in child and adolescent psychiatric nursing, the number of additional students that the institution's nursing program intends to enroll and the number of additional students that the program intends to graduate;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child-adolescent psychiatrists the institution intends to recruit to help provide the clinical instruction necessary for students described by Paragraph (A);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postgraduate residency or fellowship positions for specialized training in child or adolescent psychiatric nursing that the institution's nursing program intends to establish or expand for advanced practice registered nurses;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the amount of grant money requested.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negotiate changes to the application before approving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determines that a nursing program has failed to make adequate and timely progress toward achieving the purpose for which the grant was awarded, 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institution offering the nursing program to return any unearned grant money awarded to that program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withhold future grant awards that would otherwise be made under this subchapter in accordance with the approved application;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renegotiate the terms of the approved application;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rescind approval of the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61.9855.</w:t>
      </w:r>
      <w:r>
        <w:rPr>
          <w:u w:val="single"/>
        </w:rPr>
        <w:t xml:space="preserve"> </w:t>
      </w:r>
      <w:r>
        <w:rPr>
          <w:u w:val="single"/>
        </w:rPr>
        <w:t xml:space="preserve"> </w:t>
      </w:r>
      <w:r>
        <w:rPr>
          <w:u w:val="single"/>
        </w:rPr>
        <w:t xml:space="preserve">ADMINISTRATION.  The board shall adopt rules for the administration of the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61.9856.</w:t>
      </w:r>
      <w:r>
        <w:rPr>
          <w:u w:val="single"/>
        </w:rPr>
        <w:t xml:space="preserve"> </w:t>
      </w:r>
      <w:r>
        <w:rPr>
          <w:u w:val="single"/>
        </w:rPr>
        <w:t xml:space="preserve"> </w:t>
      </w:r>
      <w:r>
        <w:rPr>
          <w:u w:val="single"/>
        </w:rPr>
        <w:t xml:space="preserve">GRANTS, GIFTS, AND DONATIONS.  In addition to funds appropriated by the legislature, the board may solicit, receive, and spend grants, gifts, and donations from public or private sources for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61.9857.</w:t>
      </w:r>
      <w:r>
        <w:rPr>
          <w:u w:val="single"/>
        </w:rPr>
        <w:t xml:space="preserve"> </w:t>
      </w:r>
      <w:r>
        <w:rPr>
          <w:u w:val="single"/>
        </w:rPr>
        <w:t xml:space="preserve"> </w:t>
      </w:r>
      <w:r>
        <w:rPr>
          <w:u w:val="single"/>
        </w:rPr>
        <w:t xml:space="preserve">ANNUAL REPORT.  Each institution of higher education that has an advanced practice registered nursing program shall submit an annual report to the board detailing its strategy for achieving the purpose for which the grant was awarded.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61.9858.</w:t>
      </w:r>
      <w:r>
        <w:rPr>
          <w:u w:val="single"/>
        </w:rPr>
        <w:t xml:space="preserve"> </w:t>
      </w:r>
      <w:r>
        <w:rPr>
          <w:u w:val="single"/>
        </w:rPr>
        <w:t xml:space="preserve"> </w:t>
      </w:r>
      <w:r>
        <w:rPr>
          <w:u w:val="single"/>
        </w:rPr>
        <w:t xml:space="preserve">DISBURSEMENT AND ACCOUNTING OF APPROPRIATED FUNDS.  (a)   The board shall adopt procedures for assuring that grants awarded under this subchapter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distributed in a timely manner, including the forfeiture and reallocation of money if an institution fails to provide in a timely manner the information required for the money to be disbursed and if that failure prevents the timely disbursement of money to other institutions;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expended on the advanced practice registered nursing program by institutions receiving the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adopted under Subsection (a) must require each advanced practice registered nursing program that receives money to file an annual report with the board accounting for all money received.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61.9859.</w:t>
      </w:r>
      <w:r>
        <w:rPr>
          <w:u w:val="single"/>
        </w:rPr>
        <w:t xml:space="preserve"> </w:t>
      </w:r>
      <w:r>
        <w:rPr>
          <w:u w:val="single"/>
        </w:rPr>
        <w:t xml:space="preserve"> </w:t>
      </w:r>
      <w:r>
        <w:rPr>
          <w:u w:val="single"/>
        </w:rPr>
        <w:t xml:space="preserve">ADMINISTRATIVE COSTS.  A reasonable amount, not to exceed five percent, of the money appropriated by the legislature for the purposes of this subchapter may be used by the board to pay administrative costs of implementing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E, Title 2, Health and Safety Code, is amended by adding Chapter 104A to read as follows:</w:t>
      </w:r>
    </w:p>
    <w:p w:rsidR="003F3435" w:rsidRDefault="0032493E">
      <w:pPr>
        <w:spacing w:line="480" w:lineRule="auto"/>
        <w:jc w:val="center"/>
      </w:pPr>
      <w:r>
        <w:rPr>
          <w:u w:val="single"/>
        </w:rPr>
        <w:t xml:space="preserve">CHAPTER 104A. TEXAS BEHAVIORAL HEALTH RESEARCH INSTITUTE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"Child-adolescent psychiatrist" means a physician who specializes in the diagnosis and treatment of psychiatric and associated behavioral health issues affecting children and adolescents.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 psychiatry access line" means a telephonic or other electronic system operated to connect health care professionals with child-adolescent psychiatrists for peer-to-peer consultation regarding the treatment of children with behavioral health concerns through telepsychiatry.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 care provider" means a health care professional, including a primary care physician, who is providing in-person health care services to a child.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"Institute"</w:t>
      </w:r>
      <w:r>
        <w:rPr>
          <w:u w:val="single"/>
        </w:rPr>
        <w:t xml:space="preserve"> </w:t>
      </w:r>
      <w:r>
        <w:rPr>
          <w:u w:val="single"/>
        </w:rPr>
        <w:t xml:space="preserve">means the Texas Behavioral Health Research Institute.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"Social-emotional learning" means the process through which children develop and apply the knowledge, attitudes, and skills to understand and manage emotions, resolve conflicts, set and achieve goals, feel and show empathy for others, establish and maintain positive relationships, and make responsible decisions.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"Telepsychiatry" means the remote diagnosis and treatment of patients for psychiatric problems through videoconferencing or through various other means of electronic communication.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104A.002.</w:t>
      </w:r>
      <w:r>
        <w:rPr>
          <w:u w:val="single"/>
        </w:rPr>
        <w:t xml:space="preserve"> </w:t>
      </w:r>
      <w:r>
        <w:rPr>
          <w:u w:val="single"/>
        </w:rPr>
        <w:t xml:space="preserve"> </w:t>
      </w:r>
      <w:r>
        <w:rPr>
          <w:u w:val="single"/>
        </w:rPr>
        <w:t xml:space="preserve">ESTABLISHMENT; PURPOSE. The institute is established to create a centralized direction and vision for addressing child and adolescent behavioral health needs and to provide grants for researching and treating behavioral health issues.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104A.003.</w:t>
      </w:r>
      <w:r>
        <w:rPr>
          <w:u w:val="single"/>
        </w:rPr>
        <w:t xml:space="preserve"> </w:t>
      </w:r>
      <w:r>
        <w:rPr>
          <w:u w:val="single"/>
        </w:rPr>
        <w:t xml:space="preserve"> </w:t>
      </w:r>
      <w:r>
        <w:rPr>
          <w:u w:val="single"/>
        </w:rPr>
        <w:t xml:space="preserve">COMPOSITION OF INSTITUTE.  (a)  The institute is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from the commission,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public who represents pediatricians, appointed by the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of the public who represents nonprofit organizations in this state that focus on mental health issues, appointed by the governor;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academic department of psychiatry from each of the following health-related institutions of higher education or a person designated to serve by the chair in the chair's place: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University of Texas Health Science Center at Houston;</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University of Texas Health Science Center at San Antonio;</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University of Texas Southwestern Medical Center;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University of Texas Medical Branch at Galveston;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University of Texas M.</w:t>
      </w:r>
      <w:r>
        <w:rPr>
          <w:u w:val="single"/>
        </w:rPr>
        <w:t xml:space="preserve"> </w:t>
      </w:r>
      <w:r>
        <w:rPr>
          <w:u w:val="single"/>
        </w:rPr>
        <w:t xml:space="preserve">D. Anderson Cancer Center;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University of Texas Health Science Center at Tyler;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Texas A&amp;M University Health Science Center;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University of North Texas Health Science Center at Fort Worth;</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Texas Tech University Health Sciences Center;</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Texas Tech University Health Sciences Center at El Paso;</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Dell Medical School at The University of Texas at Austin;</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The University of Texas Rio Grande Valley School of Medicine;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Baylor College of Medicine.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 on the institute by a public officer or employee is an additional duty of the office or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institute shall elect a presiding member from among its membership.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institute shall establish a schedule of regular meetings.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104A.004.</w:t>
      </w:r>
      <w:r>
        <w:rPr>
          <w:u w:val="single"/>
        </w:rPr>
        <w:t xml:space="preserve"> </w:t>
      </w:r>
      <w:r>
        <w:rPr>
          <w:u w:val="single"/>
        </w:rPr>
        <w:t xml:space="preserve"> </w:t>
      </w:r>
      <w:r>
        <w:rPr>
          <w:u w:val="single"/>
        </w:rPr>
        <w:t xml:space="preserve">POWERS AND DUTIES.  (a) The institute shall undertake to improve the quality and accessibility of care in local communities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grants or other funding to the health-related institutions of higher education listed in Section 104A.003(a)(4) and community mental health providers to provide direct mental health care services and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establishing child psychiatry access lines for peer-to-peer consultation support for direct care providers who use telepsychiatry;</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establishing partnerships between behavioral health professionals from the health-related institutions of higher education listed in Section 104A.003(a)(4) and direct care providers to encourage the use of child psychiatry access lines;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educating direct care providers about services and supports that child-adolescent psychiatrists provide;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creating a program to provide students access to telepsychiatry through the use of child psychiatry access lines to support public school personnel who are assisting students with behavioral health concerns;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providing grants under the grant programs established under Sections 104A.005 and 104A.006.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institute shall create a statewide plan to address behavioral health issues in schools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best practices in anti-bullying efforts;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best practices in social-emotional learning;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best practices for screening and triaging at-risk youth for behavioral health concerns;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suicide prevention programming;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opportunities for restorative justice;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community education programs for parents, students, and the community that address behavioral health concerns.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institute shall develop funding mechanisms that promote collaborative planning, implementation, workforce development, and research to ensure quality services for youth and families.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institute shall prioritize the development of specific behavioral health services for high-risk populations, including: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children exposed to severe trauma, neglect, or loss;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victims of sex trafficking;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children and youth in foster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children at risk of adjudication;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children with intellectual or developmental disabilities.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104A.005.</w:t>
      </w:r>
      <w:r>
        <w:rPr>
          <w:u w:val="single"/>
        </w:rPr>
        <w:t xml:space="preserve"> </w:t>
      </w:r>
      <w:r>
        <w:rPr>
          <w:u w:val="single"/>
        </w:rPr>
        <w:t xml:space="preserve"> </w:t>
      </w:r>
      <w:r>
        <w:rPr>
          <w:u w:val="single"/>
        </w:rPr>
        <w:t xml:space="preserve">BEHAVIORAL HEALTH RESEARCH AND TREATMENT GRANT PROGRAM.  (a)  The institute shall establish a behavioral health research and treatment grant program to provide grants to the health-related institutions of higher education </w:t>
      </w:r>
      <w:r>
        <w:rPr>
          <w:u w:val="single"/>
        </w:rPr>
        <w:t xml:space="preserve"> </w:t>
      </w:r>
      <w:r>
        <w:rPr>
          <w:u w:val="single"/>
        </w:rPr>
        <w:t xml:space="preserve">listed in Section 104A.003(a)(4) to support research efforts regarding behavioral health issues, including research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physical, structural, chemical, electrical, or genetic causes of behavioral health issues;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external factors that may result in behavioral health issues;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physical or other health issues that may affect behavioral health;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health trends and strategies related to behavioral health;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new treatments, therapies, pharmaceuticals, medical interventions, or other solutions for addressing behavioral health issues;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substance use and addiction issues,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genetic determinants of addiction;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identification of and mitigation of substance use and addiction risk factors;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addiction recovery;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pain management strategies;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prescription practices in this state;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other behavioral health and addiction issues identified by the institute.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health-related institution of higher education listed in Section 104A.003(a)(4) may apply for a grant under this section alone or in partnership with the institute or other state agency or another health-related institution of higher education to carry out research efforts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104A.006.</w:t>
      </w:r>
      <w:r>
        <w:rPr>
          <w:u w:val="single"/>
        </w:rPr>
        <w:t xml:space="preserve"> </w:t>
      </w:r>
      <w:r>
        <w:rPr>
          <w:u w:val="single"/>
        </w:rPr>
        <w:t xml:space="preserve"> </w:t>
      </w:r>
      <w:r>
        <w:rPr>
          <w:u w:val="single"/>
        </w:rPr>
        <w:t xml:space="preserve">ADDICTION CRISIS GRANT PROGRAM.  The institute shall create an addiction crisis grant program to provide grants to health-related institutions of higher education listed in Section 104A.003(a)(4)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research, develop, test, and disseminate new standards for prescribing opioid drugs;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teach the standards for prescribing opioid drugs described by Subdivision (1) at the health-related institutions of higher education and at any continuing or community education courses provided by the institution;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 workforce that specializes in substance use research and clinical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conduct research related to identifying: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addiction recovery methods that use new substance use treatment strategies, therapies, drugs, or telemedicine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barriers to the accessibility of evidence-based substance use medical treatments;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strategies and new treatment methods to reduce the effects of opioid drugs and other controlled substances on maternal mortality and morbidity rates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prevention techniques, policies, and outreach methods to reduce the use of opioid drugs and other controlled substances;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better pain management strategies for persons recovering from a substance use disorder;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ways to obtain better data related to substance use and ways to achieve the interoperability of various sources of that data;</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most recent pharmacogenetic strategies;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genetic determinants of addiction;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whether risk factors for addiction can be determined or mitigated;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 a prescriber screening method or tool;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research and test new substance use clinical treatment approaches;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monitor trends in substance use patterns through the use of improved toxicology testing;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collaborate with the commission, the Texas State Board of Pharmacy, and any other appropriate agency or professional board to complete comparative studies of prescribing practices for opioid drugs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104A.007.</w:t>
      </w:r>
      <w:r>
        <w:rPr>
          <w:u w:val="single"/>
        </w:rPr>
        <w:t xml:space="preserve"> </w:t>
      </w:r>
      <w:r>
        <w:rPr>
          <w:u w:val="single"/>
        </w:rPr>
        <w:t xml:space="preserve"> </w:t>
      </w:r>
      <w:r>
        <w:rPr>
          <w:u w:val="single"/>
        </w:rPr>
        <w:t xml:space="preserve">FUNDING.  In addition to any money appropriated to the institute, the institute may solicit and accept gifts, grants, and donations from any source for the purpose of carrying out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104A.008.</w:t>
      </w:r>
      <w:r>
        <w:rPr>
          <w:u w:val="single"/>
        </w:rPr>
        <w:t xml:space="preserve"> </w:t>
      </w:r>
      <w:r>
        <w:rPr>
          <w:u w:val="single"/>
        </w:rPr>
        <w:t xml:space="preserve"> </w:t>
      </w:r>
      <w:r>
        <w:rPr>
          <w:u w:val="single"/>
        </w:rPr>
        <w:t xml:space="preserve">COLLABORATION WITH HISTORICALLY BLACK COLLEGE OR UNIVERSITY. </w:t>
      </w:r>
      <w:r>
        <w:rPr>
          <w:u w:val="single"/>
        </w:rPr>
        <w:t xml:space="preserve"> </w:t>
      </w:r>
      <w:r>
        <w:rPr>
          <w:u w:val="single"/>
        </w:rPr>
        <w:t xml:space="preserve">A health-related institution of higher education may contract with a historically black college or university in this state to collaborate with the institution in carrying out any part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104A.009.</w:t>
      </w:r>
      <w:r>
        <w:rPr>
          <w:u w:val="single"/>
        </w:rPr>
        <w:t xml:space="preserve"> </w:t>
      </w:r>
      <w:r>
        <w:rPr>
          <w:u w:val="single"/>
        </w:rPr>
        <w:t xml:space="preserve"> </w:t>
      </w:r>
      <w:r>
        <w:rPr>
          <w:u w:val="single"/>
        </w:rPr>
        <w:t xml:space="preserve">REPORT. Not later than December 1 of each even-numbered year, the institute shall prepare and submit to the governor, lieutenant governor, speaker of the house of representatives, and members of the legislature a biennial report on the institute's activities and legislative recommendations based on those activities.</w:t>
      </w:r>
    </w:p>
    <w:p w:rsidR="003F3435" w:rsidRDefault="0032493E">
      <w:pPr>
        <w:spacing w:line="480" w:lineRule="auto"/>
        <w:ind w:firstLine="720"/>
        <w:jc w:val="both"/>
      </w:pPr>
      <w:r>
        <w:rPr>
          <w:u w:val="single"/>
        </w:rPr>
        <w:t xml:space="preserve">Sec. 104A.010. APPROPRIATION CONTINGENCY. The institute is required to implement a provision of this chapter only if the legislature appropriates money specifically for that purpose. If the legislature does not appropriate money specifically for that purpose, the institute may, but is not required to, implement the provision using other money available to the institute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Texas Higher Education Coordinating Board shall establish the child and adolescent psychiatric nursing grant program under Subchapter LL, Chapter 61, Education Code, as added by this Act, not later than December 31, 2019.</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December 1, 2019, the governor shall appoint members to the Texas Behavioral Health Research Institute in accordance with Section 104A.003, Health and Safety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