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the rights of a living unborn child after an abortion;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151.002, Family Code, is amended to read as follows:</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RIGHTS OF A LIVING CHILD AFTER AN ABORTION OR PREMATURE BIRTH</w:t>
      </w:r>
      <w:r>
        <w:rPr>
          <w:u w:val="single"/>
        </w:rPr>
        <w:t xml:space="preserve">; CIVIL PENALTY; CRIMINAL OFFENSE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151.002, Family Code,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physician-patient relationship is established between a child born alive after an abortion and the physician who performed or attempted to perform the abortion. </w:t>
      </w:r>
      <w:r>
        <w:rPr>
          <w:u w:val="single"/>
        </w:rPr>
        <w:t xml:space="preserve"> </w:t>
      </w:r>
      <w:r>
        <w:rPr>
          <w:u w:val="single"/>
        </w:rP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w:t>
      </w:r>
      <w:r>
        <w:rPr>
          <w:u w:val="single"/>
        </w:rPr>
        <w:t xml:space="preserve">to a hospital.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woman on whom an abortion, as defined by Section 245.002, Health and Safety Code, is performed or attempted to be performed may not be held liable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Subsection (c) by failing to provide the appropriate medical treatment to a child born alive after an abortion or an attempted abortion is liable to the state for a civil penalty of not less than $100,000. </w:t>
      </w:r>
      <w:r>
        <w:rPr>
          <w:u w:val="single"/>
        </w:rPr>
        <w:t xml:space="preserve"> </w:t>
      </w:r>
      <w:r>
        <w:rPr>
          <w:u w:val="single"/>
        </w:rPr>
        <w:t xml:space="preserve">The attorney general may bring a suit to collect the penalty. </w:t>
      </w:r>
      <w:r>
        <w:rPr>
          <w:u w:val="single"/>
        </w:rPr>
        <w:t xml:space="preserve"> </w:t>
      </w:r>
      <w:r>
        <w:rPr>
          <w:u w:val="single"/>
        </w:rPr>
        <w:t xml:space="preserve">In addition to the civil penalty, the attorney general may recover reasonable attorney's fees. </w:t>
      </w:r>
      <w:r>
        <w:rPr>
          <w:u w:val="single"/>
        </w:rPr>
        <w:t xml:space="preserve"> </w:t>
      </w:r>
      <w:r>
        <w:rPr>
          <w:u w:val="single"/>
        </w:rPr>
        <w:t xml:space="preserve">The civil penalty described in this subsection is in addition to any other recovery authorized under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knowledge of a failure to comply with this section shall report to the attorney general. </w:t>
      </w:r>
      <w:r>
        <w:rPr>
          <w:u w:val="single"/>
        </w:rPr>
        <w:t xml:space="preserve"> </w:t>
      </w:r>
      <w:r>
        <w:rPr>
          <w:u w:val="single"/>
        </w:rPr>
        <w:t xml:space="preserve">The identity and any personally identifiable information of the person reporting the failure to comply with this section is confidential under Chapter 552, Government Code.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or health care practitioner who violates Subsection (c) by failing to provide the appropriate medical treatment to a child born alive after an abortion or an attempted abortion commits an offense. </w:t>
      </w:r>
      <w:r>
        <w:rPr>
          <w:u w:val="single"/>
        </w:rPr>
        <w:t xml:space="preserve"> </w:t>
      </w:r>
      <w:r>
        <w:rPr>
          <w:u w:val="single"/>
        </w:rPr>
        <w:t xml:space="preserve">An offense under this subsection is a felony of the third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151.002, Family Code, as amended by this Act, applies only to a child born alive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the prosecution of an offense committed on or after the effective date of this Act. </w:t>
      </w:r>
      <w:r>
        <w:t xml:space="preserve"> </w:t>
      </w:r>
      <w:r>
        <w:t xml:space="preserve">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is committed before the effective date of this Act if any element of the offense occurs before the effective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 was passed by the House on April 17, 2019, by the following vote:</w:t>
      </w:r>
      <w:r xml:space="preserve">
        <w:t> </w:t>
      </w:r>
      <w:r xml:space="preserve">
        <w:t> </w:t>
      </w:r>
      <w:r>
        <w:t xml:space="preserve">Yeas 94, Nays 2, 49 present, not voting; and that the House concurred in Senate amendments to H.B. No. 16 on May 23, 2019, by the following vote:</w:t>
      </w:r>
      <w:r xml:space="preserve">
        <w:t> </w:t>
      </w:r>
      <w:r xml:space="preserve">
        <w:t> </w:t>
      </w:r>
      <w:r>
        <w:t xml:space="preserve">Yeas 84, Nays 57,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16 was passed by the Senate, with amendments, on May 16, 2019, by the following vote:</w:t>
      </w:r>
      <w:r xml:space="preserve">
        <w:t> </w:t>
      </w:r>
      <w:r xml:space="preserve">
        <w:t> </w:t>
      </w:r>
      <w:r>
        <w:t xml:space="preserve">Yeas 21, Nays 10.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