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Watson, West)</w:t>
      </w:r>
      <w:r xml:space="preserve">
        <w:tab wTab="150" tlc="none" cTlc="0"/>
      </w:r>
      <w:r>
        <w:t xml:space="preserve">H.B.</w:t>
      </w:r>
      <w:r xml:space="preserve">
        <w:t> </w:t>
      </w:r>
      <w:r>
        <w:t xml:space="preserve">No.</w:t>
      </w:r>
      <w:r xml:space="preserve">
        <w:t> </w:t>
      </w:r>
      <w:r>
        <w:t xml:space="preserve">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 7, Nays 4;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amending Subdivision (5-a) and adding Subdivision (9) to read as follows:</w:t>
      </w:r>
    </w:p>
    <w:p w:rsidR="003F3435" w:rsidRDefault="0032493E">
      <w:pPr>
        <w:spacing w:line="480" w:lineRule="auto"/>
        <w:ind w:firstLine="1440"/>
        <w:jc w:val="both"/>
      </w:pPr>
      <w:r>
        <w:t xml:space="preserve">(5-a)</w:t>
      </w:r>
      <w:r xml:space="preserve">
        <w:t> </w:t>
      </w:r>
      <w:r xml:space="preserve">
        <w:t> </w:t>
      </w:r>
      <w:r>
        <w:t xml:space="preserve">"Mental health condition" means </w:t>
      </w:r>
      <w:r>
        <w:rPr>
          <w:u w:val="single"/>
        </w:rPr>
        <w:t xml:space="preserve">a persistent or recurrent pattern of thoughts, feelings, or behaviors</w:t>
      </w:r>
      <w:r>
        <w:t xml:space="preserve"> [</w:t>
      </w:r>
      <w:r>
        <w:rPr>
          <w:strike/>
        </w:rPr>
        <w:t xml:space="preserve">an illness, disease, or disorder, other than epilepsy, dementia, substance abuse, or intellectual disability,</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substantially</w:t>
      </w:r>
      <w:r>
        <w:t xml:space="preserve">] impairs a person's </w:t>
      </w:r>
      <w:r>
        <w:rPr>
          <w:u w:val="single"/>
        </w:rPr>
        <w:t xml:space="preserve">social, emotional, or educational functioning and increases the risk of developing a condition described by Paragraph (A)</w:t>
      </w:r>
      <w:r>
        <w:t xml:space="preserve"> [</w:t>
      </w:r>
      <w:r>
        <w:rPr>
          <w:strike/>
        </w:rPr>
        <w:t xml:space="preserve">thought, perception of reality, emotional process, or judgment;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grossly impairs behavior as demonstrated by recent disturbed behavior</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rPr>
          <w:u w:val="single"/>
        </w:rPr>
        <w:t xml:space="preserve">evidence-based practices that address</w:t>
      </w:r>
      <w:r>
        <w:t xml:space="preserve"> </w:t>
      </w:r>
      <w:r>
        <w:t xml:space="preserve">[</w:t>
      </w:r>
      <w:r>
        <w:rPr>
          <w:strike/>
        </w:rPr>
        <w:t xml:space="preserve">methods for addressing</w:t>
      </w:r>
      <w:r>
        <w:t xml:space="preserve">]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21.054, Education Code, is amended by amending Subsections (d), (d-2), (e), (e-2), (f), and (g) and adding Subsection (d-1)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intellectual or developmental disabilities;</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instruction required under Subsection (d) may include two or more listed topics together.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w:t>
      </w:r>
      <w:r>
        <w:rPr>
          <w:u w:val="single"/>
        </w:rPr>
        <w:t xml:space="preserve">an evidence-based</w:t>
      </w:r>
      <w:r>
        <w:t xml:space="preserve"> </w:t>
      </w:r>
      <w:r>
        <w:t xml:space="preserve">[</w:t>
      </w:r>
      <w:r>
        <w:rPr>
          <w:strike/>
        </w:rPr>
        <w:t xml:space="preserve">a</w:t>
      </w:r>
      <w:r>
        <w:t xml:space="preserve">] mental health first aid training program </w:t>
      </w:r>
      <w:r>
        <w:rPr>
          <w:u w:val="single"/>
        </w:rPr>
        <w:t xml:space="preserve">or an evidence-based grief-informed and trauma-informed care program</w:t>
      </w:r>
      <w:r>
        <w:t xml:space="preserve"> </w:t>
      </w:r>
      <w:r>
        <w:t xml:space="preserve">[</w:t>
      </w:r>
      <w:r>
        <w:rPr>
          <w:strike/>
        </w:rPr>
        <w:t xml:space="preserve">offered by a local mental health authority under Section 1001.203, Health and Safety Code</w:t>
      </w:r>
      <w:r>
        <w:t xml:space="preserve">]. </w:t>
      </w:r>
      <w:r>
        <w:t xml:space="preserve"> </w:t>
      </w:r>
      <w:r>
        <w:rPr>
          <w:u w:val="single"/>
        </w:rPr>
        <w:t xml:space="preserve">The rules adopted under this subsection must allow an educator to complete a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w:t>
      </w:r>
      <w:r>
        <w:t xml:space="preserve">] must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 provided:</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two or more listed topics together</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campus in the district, a statement of whether the campus has a full-time nurse or full-time school counselor</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rPr>
          <w:u w:val="single"/>
        </w:rPr>
        <w:t xml:space="preserve">(a)</w:t>
      </w:r>
      <w:r>
        <w:t xml:space="preserve">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w:t>
      </w:r>
      <w:r xml:space="preserve">
        <w:t> </w:t>
      </w:r>
      <w:r>
        <w:rPr>
          <w:u w:val="single"/>
        </w:rPr>
        <w:t xml:space="preserve">38.352</w:t>
      </w:r>
      <w:r>
        <w:t xml:space="preserve"> [</w:t>
      </w:r>
      <w:r>
        <w:rPr>
          <w:strike/>
        </w:rPr>
        <w:t xml:space="preserve">161.326</w:t>
      </w:r>
      <w:r>
        <w:t xml:space="preserve">].</w:t>
      </w:r>
      <w:r xml:space="preserve">
        <w:t> </w:t>
      </w:r>
      <w:r xml:space="preserve">
        <w:t> </w:t>
      </w:r>
      <w:r>
        <w:t xml:space="preserve">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