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86R2165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services to certain children under the Medicaid medical transportation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531.024141.</w:t>
      </w:r>
      <w:r>
        <w:rPr>
          <w:u w:val="single"/>
        </w:rPr>
        <w:t xml:space="preserve"> </w:t>
      </w:r>
      <w:r>
        <w:rPr>
          <w:u w:val="single"/>
        </w:rPr>
        <w:t xml:space="preserve"> </w:t>
      </w:r>
      <w:r>
        <w:rPr>
          <w:u w:val="single"/>
        </w:rPr>
        <w:t xml:space="preserve">MEDICAL TRANSPORTATION PROGRAM SERVICES FOR CERTAIN CHILDREN.  (a)  The commission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 transportation program services to an eligible child described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reimbursement for those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is eligible to receive medical transportation program services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child is younger than 13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child's mother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recipient of Medicaid during a pregnancy;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using medical transportation program services to travel to and from a covered health care service related to the pregnancy, including postpartum care;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regardless of whether the child is also a recipient of Medicaid.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