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86R2395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Hunter, Zedler, Moody, Murr</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or aggravated assault of a federal law enforcement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pregnant individual to force the individual to have an abortion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the actor knows is a federal law enforcement officer while the officer is lawfully discharging an official duty, or in retaliation or on account of an exercise of official power or performance of an official duty as a federal law enforcement officer</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(b), the actor is presumed to have known the person assaulted was a public servant, </w:t>
      </w:r>
      <w:r>
        <w:rPr>
          <w:u w:val="single"/>
        </w:rPr>
        <w:t xml:space="preserve">a federal law enforcement officer,</w:t>
      </w:r>
      <w:r>
        <w:t xml:space="preserve"> a security officer, or emergency services personnel if the person was wearing a distinctive uniform or badge indicating the person's employment as a public servant </w:t>
      </w:r>
      <w:r>
        <w:rPr>
          <w:u w:val="single"/>
        </w:rPr>
        <w:t xml:space="preserve">or federal law enforcement officer</w:t>
      </w:r>
      <w:r>
        <w:t xml:space="preserve"> or status as a security officer or emergency services personnel.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22.01(e), Penal Code, is amended by adding Subdivision (2)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law enforcement officer" means any officer, agent, or employee of the United States authorized by federal law or by an agency of the federal government to engage in or supervise the prevention, detection, or investigation of any violation of federal criminal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22.02(b), (c),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against a person the actor knows is a federal law enforcement officer while the officer is lawfully discharging an official duty, or in retaliation or on account of an exercise of official power or performance of an official duty as a federal law enforcement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(c)</w:t>
      </w:r>
      <w:r xml:space="preserve">
        <w:t> </w:t>
      </w:r>
      <w:r xml:space="preserve">
        <w:t> </w:t>
      </w:r>
      <w:r>
        <w:t xml:space="preserve">The actor is presumed to have known the person assaulted was a public servant</w:t>
      </w:r>
      <w:r>
        <w:rPr>
          <w:u w:val="single"/>
        </w:rPr>
        <w:t xml:space="preserve">, a federal law enforcement officer,</w:t>
      </w:r>
      <w:r>
        <w:t xml:space="preserve"> or a security officer if the person was wearing a distinctive uniform or badge indicating the person's employment as a public servant </w:t>
      </w:r>
      <w:r>
        <w:rPr>
          <w:u w:val="single"/>
        </w:rPr>
        <w:t xml:space="preserve">or federal law enforcement officer</w:t>
      </w:r>
      <w:r>
        <w:t xml:space="preserve"> or status as a security officer.</w:t>
      </w:r>
    </w:p>
    <w:p w:rsidR="003F3435" w:rsidRDefault="0032493E">
      <w:pPr>
        <w:spacing w:line="480" w:lineRule="auto"/>
        <w:ind w:firstLine="720"/>
        <w:jc w:val="both"/>
      </w:pPr>
      <w:r>
        <w:t xml:space="preserve">(d)</w:t>
      </w:r>
      <w:r xml:space="preserve">
        <w:t> </w:t>
      </w:r>
      <w:r xml:space="preserve">
        <w:t> </w:t>
      </w:r>
      <w:r>
        <w:t xml:space="preserve">In this section, </w:t>
      </w:r>
      <w:r>
        <w:rPr>
          <w:u w:val="single"/>
        </w:rPr>
        <w:t xml:space="preserve">"federal law enforcement officer" and</w:t>
      </w:r>
      <w:r>
        <w:t xml:space="preserve"> "security officer" </w:t>
      </w:r>
      <w:r>
        <w:rPr>
          <w:u w:val="single"/>
        </w:rPr>
        <w:t xml:space="preserve">have the meanings assigned by Section 22.01</w:t>
      </w:r>
      <w:r>
        <w:t xml:space="preserve"> </w:t>
      </w:r>
      <w:r>
        <w:t xml:space="preserve">[</w:t>
      </w:r>
      <w:r>
        <w:rPr>
          <w:strike/>
        </w:rPr>
        <w:t xml:space="preserve">means a commissioned security officer as defined by Section 1702.002, Occupations Code, or a noncommissioned security officer registered under Section 1702.221, Occupations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