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86R1341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unused long-acting reversible contraceptive products under Medicaid and the Healthy Texas Women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531.0742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531.0742.</w:t>
      </w:r>
      <w:r>
        <w:rPr>
          <w:u w:val="single"/>
        </w:rPr>
        <w:t xml:space="preserve"> </w:t>
      </w:r>
      <w:r>
        <w:rPr>
          <w:u w:val="single"/>
        </w:rPr>
        <w:t xml:space="preserve"> </w:t>
      </w:r>
      <w:r>
        <w:rPr>
          <w:u w:val="single"/>
        </w:rPr>
        <w:t xml:space="preserve">TRANSFER OF UNUSED LONG-ACTING REVERSIBLE CONTRACEPTIVE PRODUCT.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"Healthy Texas Women program" means a program operated by the commission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"Long-acting reversible contraceptive product" means a method of birth control that provides effective contraception for an extended period without requiring user action.  The term includes an injection, intrauterine device, and subdermal contraceptive implant.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accordance with commission rules, a health care provider under Medicaid or the Healthy Texas Women program may transfer to a Medicaid or Healthy Texas Women program recipient a long-acting reversible contraceptive product prescribed by the provider to another recipient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long-acting reversible contraceptive product: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not delivered to or used by the recipient to whom the contraceptive product was initially prescribed;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contained in the contraceptive product's original packaging and that packaging is unopened;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prescribed to and is medically appropriate and not contraindicated for the recipient to whom the contraceptive product is being transferred;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time of the transfer: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contraceptive product has been in the health care provider's possession for at least 12 weeks following the date of the original prescription for the product;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health care provider has written confirmation that the recipient to whom the contraceptive product was initially prescribed no longer wishes to receive or use the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March 31, 2020, the executive commissioner of the Health and Human Services Commission shall adopt rules necessary to implement Section 531.0742,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