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leverage fund program administered by the Texas Economic Development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 E to read as follows:</w:t>
      </w:r>
    </w:p>
    <w:p w:rsidR="003F3435" w:rsidRDefault="0032493E">
      <w:pPr>
        <w:spacing w:line="480" w:lineRule="auto"/>
        <w:jc w:val="center"/>
      </w:pPr>
      <w:r>
        <w:rPr>
          <w:u w:val="single"/>
        </w:rPr>
        <w:t xml:space="preserve">SUBCHAPTER E.  TEXAS LEVERAGE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"leverage fund"</w:t>
      </w:r>
      <w:r>
        <w:rPr>
          <w:u w:val="single"/>
        </w:rPr>
        <w:t xml:space="preserve"> </w:t>
      </w:r>
      <w:r>
        <w:rPr>
          <w:u w:val="single"/>
        </w:rPr>
        <w:t xml:space="preserve">means the Texas leverage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LEVERAGE FUND.  (a)  The Texas leverage fund is created as a trust fund held outside the state treasury by the comptroller as trustee.  The comptroller shall hold money in the leverage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leverage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leverage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leverage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leverage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leverage fund in investments authorized by law for state funds. </w:t>
      </w:r>
      <w:r>
        <w:rPr>
          <w:u w:val="single"/>
        </w:rPr>
        <w:t xml:space="preserve"> </w:t>
      </w:r>
      <w:r>
        <w:rPr>
          <w:u w:val="single"/>
        </w:rPr>
        <w:t xml:space="preserve">Earnings on the investments shall be credited to the leverage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leverage fund for the purposes specified by and according to the procedures established by this subchapter.  This state may take action with respect to the leverage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  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  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  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  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LEVERAGE FUND.  The bank shall administer the leverage fund.  In administering the leverage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 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leverage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leverage fund program as amended by this Act authorizes the continued operation of the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