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86R29522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w:t>
      </w: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C.S.H.B.</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pecan buyers in certain counties;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5, Agriculture Code, is amended by adding Chapter 105 to read as follows:</w:t>
      </w:r>
    </w:p>
    <w:p w:rsidR="003F3435" w:rsidRDefault="0032493E">
      <w:pPr>
        <w:spacing w:line="480" w:lineRule="auto"/>
        <w:jc w:val="center"/>
      </w:pPr>
      <w:r>
        <w:rPr>
          <w:u w:val="single"/>
        </w:rPr>
        <w:t xml:space="preserve">CHAPTER 105.  PECAN BUYERS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"Buyer" means a person engaged in the business of purchasing in-shell pecans from a pecan producer.  The term includes an accumulator, buying location, cleaning plant, sheller, dealer, or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"Buying location" means a physical location where a buyer accepts in-shell pecans or, if the purchase of in-shell pecans is brokered, a physical location where records relating to the purchase of in-shell pecans are maintained.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"In-shell pecan" means a pecan nut with its shell attached.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 person described by Article 2.12, Code of Criminal Procedure.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"Pecan producer" means a person who grows pecans.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"Western county"</w:t>
      </w:r>
      <w:r>
        <w:rPr>
          <w:u w:val="single"/>
        </w:rPr>
        <w:t xml:space="preserve"> </w:t>
      </w:r>
      <w:r>
        <w:rPr>
          <w:u w:val="single"/>
        </w:rPr>
        <w:t xml:space="preserve">means one of the five westernmost counties in this state in which pecans are produced, measured at the westernmost part of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105.002.</w:t>
      </w:r>
      <w:r>
        <w:rPr>
          <w:u w:val="single"/>
        </w:rPr>
        <w:t xml:space="preserve"> </w:t>
      </w:r>
      <w:r>
        <w:rPr>
          <w:u w:val="single"/>
        </w:rPr>
        <w:t xml:space="preserve"> </w:t>
      </w:r>
      <w:r>
        <w:rPr>
          <w:u w:val="single"/>
        </w:rPr>
        <w:t xml:space="preserve">PROOF OF PURCHASE FORM.  (a) This section applies only to a buyer who purchased more than 1,000 pounds of in-shell pecans in the 12 months preceding the date of a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buyer who purchases more than 50 pounds of in-shell pecans in a western county in a single transaction shall complete a proof of purchase form promulgated by the department describing the transaction. The buyer shall retain the form for at least 24 months after the date of the transaction and shall provide the form to a peace officer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under Subsection (b) must provide space for recording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date of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pecan variety;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quantity of pecans, in pounds;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orchard owner's name and telephone number;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pecan producer's name and telephone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exact location of harvested pecans;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name, driver's license number or tax identification number, and telephone number of the individual authorizing harvest;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seller's name, address, and telephone number;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seller's agent's name, address, and telephone number;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seller's or seller's agent's signature;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buyer's name, address, and driver's license number or tax identification number;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buyer's agent's name and address;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buyer's or buyer's agent's signature;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license plate number, make, type, and color of the vehicle delivering the pecans;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name, driver's license number, and state of driver's license issuance of the driver of the vehicle delivering the pecans.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105.003.</w:t>
      </w:r>
      <w:r>
        <w:rPr>
          <w:u w:val="single"/>
        </w:rPr>
        <w:t xml:space="preserve"> </w:t>
      </w:r>
      <w:r>
        <w:rPr>
          <w:u w:val="single"/>
        </w:rPr>
        <w:t xml:space="preserve"> </w:t>
      </w:r>
      <w:r>
        <w:rPr>
          <w:u w:val="single"/>
        </w:rPr>
        <w:t xml:space="preserve">CIVIL PENALTY.  (a) A buyer who fails to complete a proof of purchase form as required by Section 105.002(b) is liable to the state for a civil penalty not to exceed $250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in a suit filed by the attorney general shall be deposited in the general revenue fund. A civil penalty collected under this section in a suit filed by a county or district attorney shall be divided between the state and the county in which the county or district attorney brought suit, with 50 percent of the amount collected paid to the state for deposit in the general revenue fund and 50 percent of the amount collected paid to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