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expedited proceedings in cases involving dangerously damaged or deteriorated or substandard buildings or improvements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denies a motion filed by a municipality with a population of 500,000 or more in an action filed under Section 54.012(6) or 214.0012,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Local Government Code, is amended by adding Section 54.0155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54.0155. </w:t>
      </w:r>
      <w:r>
        <w:rPr>
          <w:u w:val="single"/>
        </w:rPr>
        <w:t xml:space="preserve"> </w:t>
      </w:r>
      <w:r>
        <w:rPr>
          <w:u w:val="single"/>
        </w:rPr>
        <w:t xml:space="preserve">EXPEDITED PROCEEDINGS FOR CERTAIN CIVIL ACTIONS. </w:t>
      </w:r>
      <w:r>
        <w:rPr>
          <w:u w:val="single"/>
        </w:rPr>
        <w:t xml:space="preserve"> </w:t>
      </w:r>
      <w:r>
        <w:rPr>
          <w:u w:val="single"/>
        </w:rPr>
        <w:t xml:space="preserve">(a) </w:t>
      </w:r>
      <w:r>
        <w:rPr>
          <w:u w:val="single"/>
        </w:rPr>
        <w:t xml:space="preserve"> </w:t>
      </w:r>
      <w:r>
        <w:rPr>
          <w:u w:val="single"/>
        </w:rPr>
        <w:t xml:space="preserve">A court shall expedite any proceeding, including an appeal in accordance with Subsection (b), related to a suit brought under this subchapter for the enforcement of an ordinance adopted by a municipality with a population of 500,000 or more relating to dangerously damaged or deteriorated structures or improvements as described by Section 54.012(6).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of a suit described by Subsection (a)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214.001, Local Government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court shall expedite any proceeding, including an appeal in accordance with Section 214.0012, related to a substandard building determination under this section by a municipality with a population of 500,000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214.0012, Local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appeal under this section for an action in which a municipality with a population of 500,000 or more is a party is governed by the procedures for accelerated appeals in civil cases under the Texas Rules of Appellate Procedure.  The district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 was passed by the House on April 16, 2019, by the following vote:</w:t>
      </w:r>
      <w:r xml:space="preserve">
        <w:t> </w:t>
      </w:r>
      <w:r xml:space="preserve">
        <w:t> </w:t>
      </w:r>
      <w:r>
        <w:t xml:space="preserve">Yeas 121, Nays 12, 1 present, not voting; and that the House concurred in Senate amendments to H.B. No. 36 on May 24, 2019, by the following vote:</w:t>
      </w:r>
      <w:r xml:space="preserve">
        <w:t> </w:t>
      </w:r>
      <w:r xml:space="preserve">
        <w:t> </w:t>
      </w:r>
      <w:r>
        <w:t xml:space="preserve">Yeas 102, Nays 38, 4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36 was passed by the Senate, with amendments, on May 22,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