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manufacture, assembly, or ownership of unmarked firearms;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H-1 to read as follows:</w:t>
      </w:r>
    </w:p>
    <w:p w:rsidR="003F3435" w:rsidRDefault="0032493E">
      <w:pPr>
        <w:spacing w:line="480" w:lineRule="auto"/>
        <w:jc w:val="center"/>
      </w:pPr>
      <w:r>
        <w:rPr>
          <w:u w:val="single"/>
        </w:rPr>
        <w:t xml:space="preserve">SUBCHAPTER H-1. MARKING OF UNMARKED FIREARMS REQUIRED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411.221.</w:t>
      </w:r>
      <w:r>
        <w:rPr>
          <w:u w:val="single"/>
        </w:rPr>
        <w:t xml:space="preserve"> </w:t>
      </w:r>
      <w:r>
        <w:rPr>
          <w:u w:val="single"/>
        </w:rPr>
        <w:t xml:space="preserve"> </w:t>
      </w:r>
      <w:r>
        <w:rPr>
          <w:u w:val="single"/>
        </w:rPr>
        <w:t xml:space="preserve">DEFINITION.  In this subchapter, "firearm" has the meaning assigned by Section 46.01,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411.222.</w:t>
      </w:r>
      <w:r>
        <w:rPr>
          <w:u w:val="single"/>
        </w:rPr>
        <w:t xml:space="preserve"> </w:t>
      </w:r>
      <w:r>
        <w:rPr>
          <w:u w:val="single"/>
        </w:rPr>
        <w:t xml:space="preserve"> </w:t>
      </w:r>
      <w:r>
        <w:rPr>
          <w:u w:val="single"/>
        </w:rPr>
        <w:t xml:space="preserve">APPLICABILITY.  (a)  Except as provided by Subsections (b) and (c), this subchapter applies only to a firearm that has not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assigned a unique serial number or other mark of identification under federal law or the law of this state or another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marked with that serial number or mark in a manner that meets or exceeds the requirements imposed under federal law on licensed importers and licensed manufacturers of firearms for marking imported or manufactured firearms with a serial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firearm, other than a handgun, manufactured or assembled before December 16, 1968;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firearm that is a curio or relic, as those terms are defined by 27 C.F.R. Section 478.11, or an antique firearm, as that term is defined by 27 C.F.R. Section 479.11;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firearm assigned a unique serial number or other mark of identification for the purpose of entering a description of the firearm into a criminal intelligence database.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the importation or manufacture of a firearm by a person licensed under federal law to engage in the business of importing or manufacturing firearms, if the firearms imported or manufactured by that person are marked with a unique serial number in compliance with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411.223.</w:t>
      </w:r>
      <w:r>
        <w:rPr>
          <w:u w:val="single"/>
        </w:rPr>
        <w:t xml:space="preserve"> </w:t>
      </w:r>
      <w:r>
        <w:rPr>
          <w:u w:val="single"/>
        </w:rPr>
        <w:t xml:space="preserve"> </w:t>
      </w:r>
      <w:r>
        <w:rPr>
          <w:u w:val="single"/>
        </w:rPr>
        <w:t xml:space="preserve">RULEMAKING AUTHORITY; ADMINISTRATION. (a) The director shall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this subchapter and the rules adopted by the director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action necessary to ensure compliance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411.224.</w:t>
      </w:r>
      <w:r>
        <w:rPr>
          <w:u w:val="single"/>
        </w:rPr>
        <w:t xml:space="preserve"> </w:t>
      </w:r>
      <w:r>
        <w:rPr>
          <w:u w:val="single"/>
        </w:rPr>
        <w:t xml:space="preserve"> </w:t>
      </w:r>
      <w:r>
        <w:rPr>
          <w:u w:val="single"/>
        </w:rPr>
        <w:t xml:space="preserve">FEE.  To cover the cost of administering this subchapter, the department may collect a reasonable fee from an applicant for a unique serial number or other mark of identification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411.225.</w:t>
      </w:r>
      <w:r>
        <w:rPr>
          <w:u w:val="single"/>
        </w:rPr>
        <w:t xml:space="preserve"> </w:t>
      </w:r>
      <w:r>
        <w:rPr>
          <w:u w:val="single"/>
        </w:rPr>
        <w:t xml:space="preserve"> </w:t>
      </w:r>
      <w:r>
        <w:rPr>
          <w:u w:val="single"/>
        </w:rPr>
        <w:t xml:space="preserve">MARKING REQUIREMENTS FOR MANUFACTURING OR ASSEMBLING FIREARMS.  A person who manufactures or assembles a firearm to which this subchapter applies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manufacturing or assembling the firearm, apply to the department for a unique serial number or other mark of identification;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10th day after the date of manufacturing or assembling the firearm or the date of receiving a serial number or mark provided by the department, whichever is later: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manner that meets or exceeds the requirements described by Section 411.222(a)(2), permanently affix to the firearm the serial number or mark provided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firearm is composed primarily of parts made out of plastic, permanently affix to a piece of steel the serial number or mark provided by the department and embed that marked piece of steel in the firearm in a manner that meets or exceeds the requirements of the Undetectable Firearms Act of 1988 (18 U.S.C. Section 922(p)) and the requirements described by Section 411.222(a)(2);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permanently affixing to the firearm the serial number or mark provided by the department, as described by Subdivision (2), notify the department in a manner prescribed by the department: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serial number or mark has been affixed to the firearm;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the name of the owner of the firearm.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411.226.</w:t>
      </w:r>
      <w:r>
        <w:rPr>
          <w:u w:val="single"/>
        </w:rPr>
        <w:t xml:space="preserve"> </w:t>
      </w:r>
      <w:r>
        <w:rPr>
          <w:u w:val="single"/>
        </w:rPr>
        <w:t xml:space="preserve"> </w:t>
      </w:r>
      <w:r>
        <w:rPr>
          <w:u w:val="single"/>
        </w:rPr>
        <w:t xml:space="preserve">MARKING REQUIREMENTS FOR UNMARKED FIREARMS.  (a)  Except as provided by Subsection (b), a person who owns a firearm to which this subchapter applies shall, not later than the 30th day after the date the person acquires the firearm or enters this state with the firearm: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for a unique serial number or other mark of identification;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10th day after the date of receiving a serial number or mark provided by the department: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manner that meets or exceeds the requirements described by Section 411.222(a)(2), permanently affix to the firearm the serial number or mark provided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firearm is composed primarily of parts made out of plastic, permanently affix to a piece of steel the serial number or mark provided by the department and embed that marked piece of steel in the firearm in a manner that meets or exceeds the requirements of the Undetectable Firearms Act of 1988 (18 U.S.C. Section 922(p)) and the requirements described by Section 411.222(a)(2);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permanently affixing to the firearm the serial number or mark provided by the department, as described by Subdivision (2), notify the department in a manner prescribed by the department:</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serial number or mark has been affixed to the firearm;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the name of the owner of the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a firearm to which this subchapter applies, who has obtained for that firearm a unique serial number or other mark of identification as described by Section 411.222(a)(1), but who has not yet permanently affixed the number or mark to the firearm, promptly shall permanently affix the applicable number or mark to the firearm as provided by Subsection (a)(2)(A) or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411.227.</w:t>
      </w:r>
      <w:r>
        <w:rPr>
          <w:u w:val="single"/>
        </w:rPr>
        <w:t xml:space="preserve"> </w:t>
      </w:r>
      <w:r>
        <w:rPr>
          <w:u w:val="single"/>
        </w:rPr>
        <w:t xml:space="preserve"> </w:t>
      </w:r>
      <w:r>
        <w:rPr>
          <w:u w:val="single"/>
        </w:rPr>
        <w:t xml:space="preserve">SALE OR TRANSFER OF UNMARKED FIREARMS PROHIBITED; EXCEPTION; DUTY TO DESTROY.  (a)  A person may not sell or otherwise transfer ownership of a firearm to which this subchapter applies unless the person sells or otherwise transfers ownership of the firearm to a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Article 18.18, 18.19, or 18.191, Code of Criminal Procedure, a law enforcement agency that purchases or otherwise obtains ownership of a firearm to which this subchapter applies shall destroy the firearm.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411.228.</w:t>
      </w:r>
      <w:r>
        <w:rPr>
          <w:u w:val="single"/>
        </w:rPr>
        <w:t xml:space="preserve"> </w:t>
      </w:r>
      <w:r>
        <w:rPr>
          <w:u w:val="single"/>
        </w:rPr>
        <w:t xml:space="preserve"> </w:t>
      </w:r>
      <w:r>
        <w:rPr>
          <w:u w:val="single"/>
        </w:rPr>
        <w:t xml:space="preserve">SERIAL NUMBER ISSUANCE; APPLICATION. (a) The department shall issue a unique serial number or other mark of identification to an applicant who meets all the eligibility requirements and submits all the application materials as described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unique serial number or other mark of identification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occasion the applicant requests a serial number or mark for a firearm to which this subchapter applies, provide the department information sufficient to enable the department to determine that the applicant is not prohibited by state or federal law from possessing each firearm included in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of identity and age showing that the applicant is 18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description of the firearm to which this subchapter applies that the applicant owns or intends to manufacture or assemble;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the department may require;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 any applicable fee prescribed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review and either approve or deny an application not later than the 15th day after the date the department receives the application. The department shall notify the applicant in writing if the department denies the application and include a detailed description of the reason for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411.229.</w:t>
      </w:r>
      <w:r>
        <w:rPr>
          <w:u w:val="single"/>
        </w:rPr>
        <w:t xml:space="preserve"> </w:t>
      </w:r>
      <w:r>
        <w:rPr>
          <w:u w:val="single"/>
        </w:rPr>
        <w:t xml:space="preserve"> </w:t>
      </w:r>
      <w:r>
        <w:rPr>
          <w:u w:val="single"/>
        </w:rPr>
        <w:t xml:space="preserve">OFFENSE.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manufactures or assembles a firearm to which this subchapter applies and fails to comply with Section 411.225;</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a firearm to which this subchapter applies and fails to comply with Section 411.226;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violation of Section 411.227, sells or otherwise transfers ownership of a firearm to which this subchapter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Class A misdemeanor if the firearm is a handgun.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each firearm manufactured, assembled, or owned in violation of this subchapter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411.230.</w:t>
      </w:r>
      <w:r>
        <w:rPr>
          <w:u w:val="single"/>
        </w:rPr>
        <w:t xml:space="preserve"> </w:t>
      </w:r>
      <w:r>
        <w:rPr>
          <w:u w:val="single"/>
        </w:rPr>
        <w:t xml:space="preserve"> </w:t>
      </w:r>
      <w:r>
        <w:rPr>
          <w:u w:val="single"/>
        </w:rPr>
        <w:t xml:space="preserve">PUBLIC INFORMATION.  The department shall make available on the department's Internet website: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unique serial numbers or other marks of identification issued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arrests and convictions for an offense under Section 411.229.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September 1, 2019, the Department of Public Safety of the State of Texas shall adopt rules as required by Subchapter H-1,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411.225 and 411.229(a)(1), Government Code, as added by this Act, take effect September 1, 2021.</w:t>
      </w:r>
    </w:p>
    <w:p w:rsidR="003F3435" w:rsidRDefault="0032493E">
      <w:pPr>
        <w:spacing w:line="480" w:lineRule="auto"/>
        <w:ind w:firstLine="720"/>
        <w:jc w:val="both"/>
      </w:pPr>
      <w:r>
        <w:t xml:space="preserve">(c)</w:t>
      </w:r>
      <w:r xml:space="preserve">
        <w:t> </w:t>
      </w:r>
      <w:r xml:space="preserve">
        <w:t> </w:t>
      </w:r>
      <w:r>
        <w:t xml:space="preserve">Sections 411.226 and 411.229(a)(2), Government Code, as added by this Act, take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