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86R388 ATP-D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E. 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dismissal of a sworn complaint made to the Texas Ethics Commission by a vexatious complainant.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571, Government Code, is amended by adding Section 571.1223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571.1223.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DISMISSAL OF COMPLAINT FILED BY VEXATIOUS COMPLAINANT.  (a)  At any stage of a proceeding under this subchapter, the commission shall dismiss a complaint if the commission determines that the complaint was filed by a vexatious complainant.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determine that an individual who files a sworn complaint is a vexatious complainant if the respondent shows that there is not a reasonable probability that the commission will determine that there is credible evidence for the commission to determine that a violation within the jurisdiction of the commission has occurred and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complainant, in the seven-year period immediately preceding the date the complaint is made, has made at least five sworn complaints to the commission: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have been dismissed;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it was finally determined that a violation within the jurisdiction of the commission has not occurred;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it was finally determined that there is insufficient credible evidence to determine that a violation within the jurisdiction of the commission has occurred;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a complaint has been dismissed, the complainant repeatedly refiles sworn complaints based on the same particular occurrence.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