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86R3266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E. 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reporting information regarding public school disciplinary 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37.020,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37.020.</w:t>
      </w:r>
      <w:r xml:space="preserve">
        <w:t> </w:t>
      </w:r>
      <w:r xml:space="preserve">
        <w:t> </w:t>
      </w:r>
      <w:r>
        <w:t xml:space="preserve">REPORTS RELATING TO </w:t>
      </w:r>
      <w:r>
        <w:rPr>
          <w:u w:val="single"/>
        </w:rPr>
        <w:t xml:space="preserve">OUT-OF-SCHOOL SUSPENSIONS,</w:t>
      </w:r>
      <w:r>
        <w:t xml:space="preserve"> EXPULSIONS</w:t>
      </w:r>
      <w:r>
        <w:rPr>
          <w:u w:val="single"/>
        </w:rPr>
        <w:t xml:space="preserve">,</w:t>
      </w:r>
      <w:r>
        <w:t xml:space="preserve"> AND DISCIPLINARY ALTERNATIVE EDUCATION PROGRAM PLACEMENTS.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37.020, Education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out-of-school suspension under Section 37.005, the district shall report: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identifying the student, including the student's race, sex, and date of birth, that will enable the agency to compare placement data with information collected through other reports;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indicating the basis for the suspension;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full or partial days the student was suspended;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out-of-school suspensions that were inconsistent with the guidelines included in the student code of conduct under Section 37.001(a)(3).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