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collecting data regarding unaccompanied minors in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531.0412.</w:t>
      </w:r>
      <w:r>
        <w:rPr>
          <w:u w:val="single"/>
        </w:rPr>
        <w:t xml:space="preserve"> </w:t>
      </w:r>
      <w:r>
        <w:rPr>
          <w:u w:val="single"/>
        </w:rPr>
        <w:t xml:space="preserve"> </w:t>
      </w:r>
      <w:r>
        <w:rPr>
          <w:u w:val="single"/>
        </w:rPr>
        <w:t xml:space="preserve">DATA REGARDING UNACCOMPANIED MINORS IN CERTAIN CHILD-CARE FACILITIES.  (a)  In this section, "unaccompanied minor"</w:t>
      </w:r>
      <w:r>
        <w:rPr>
          <w:u w:val="single"/>
        </w:rPr>
        <w:t xml:space="preserve"> </w:t>
      </w:r>
      <w:r>
        <w:rPr>
          <w:u w:val="single"/>
        </w:rPr>
        <w:t xml:space="preserve">means a child described by 6 U.S.C. Section 279(g).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collect the following statistical information for each unaccompanied minor in the care of a residential child-care facility, as defined by Section 42.002, Human Resources Code, licensed by the Department of Family and Protective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gender;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country of origin;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child has a disability;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facility primarily provides care for children under the age of five.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Identifying information about an unaccompanied minor collected under this section is confidential and is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