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Minjarez, et al.</w:t>
      </w:r>
      <w:r>
        <w:t xml:space="preserve"> (Senate Sponsor</w:t>
      </w:r>
      <w:r xml:space="preserve">
        <w:t> </w:t>
      </w:r>
      <w:r>
        <w:t xml:space="preserve">-</w:t>
      </w:r>
      <w:r xml:space="preserve">
        <w:t> </w:t>
      </w:r>
      <w:r>
        <w:t xml:space="preserve">Zaffirini)</w:t>
      </w:r>
      <w:r xml:space="preserve">
        <w:tab wTab="150" tlc="none" cTlc="0"/>
      </w:r>
      <w:r>
        <w:t xml:space="preserve">H.B.</w:t>
      </w:r>
      <w:r xml:space="preserve">
        <w:t> </w:t>
      </w:r>
      <w:r>
        <w:t xml:space="preserve">No.</w:t>
      </w:r>
      <w:r xml:space="preserve">
        <w:t> </w:t>
      </w:r>
      <w:r>
        <w:t xml:space="preserve">69</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26,</w:t>
      </w:r>
      <w:r xml:space="preserve">
        <w:t> </w:t>
      </w:r>
      <w:r>
        <w:t xml:space="preserve">2019; April</w:t>
      </w:r>
      <w:r xml:space="preserve">
        <w:t> </w:t>
      </w:r>
      <w:r>
        <w:t xml:space="preserve">29,</w:t>
      </w:r>
      <w:r xml:space="preserve">
        <w:t> </w:t>
      </w:r>
      <w:r>
        <w:t xml:space="preserve">2019, read first time and referred to Committee on Business &amp; Commerce; May</w:t>
      </w:r>
      <w:r xml:space="preserve">
        <w:t> </w:t>
      </w:r>
      <w:r>
        <w:t xml:space="preserve">20,</w:t>
      </w:r>
      <w:r xml:space="preserve">
        <w:t> </w:t>
      </w:r>
      <w:r>
        <w:t xml:space="preserve">2019, reported favorably by the following vote:</w:t>
      </w:r>
      <w:r>
        <w:t xml:space="preserve"> </w:t>
      </w:r>
      <w:r>
        <w:t xml:space="preserve"> </w:t>
      </w:r>
      <w:r>
        <w:t xml:space="preserve">Yeas 8, Nays 0; May</w:t>
      </w:r>
      <w:r xml:space="preserve">
        <w:t> </w:t>
      </w:r>
      <w:r>
        <w:t xml:space="preserve">20,</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right to vacate and avoid liability under a residential lease after a tenant's death.</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92, Property Code, is amended by adding Section 92.0162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92.0162.</w:t>
      </w:r>
      <w:r>
        <w:rPr>
          <w:u w:val="single"/>
        </w:rPr>
        <w:t xml:space="preserve"> </w:t>
      </w:r>
      <w:r>
        <w:rPr>
          <w:u w:val="single"/>
        </w:rPr>
        <w:t xml:space="preserve"> </w:t>
      </w:r>
      <w:r>
        <w:rPr>
          <w:u w:val="single"/>
        </w:rPr>
        <w:t xml:space="preserve">RIGHT TO VACATE AND AVOID LIABILITY FOLLOWING TENANT'S DEATH.  (a)  A representative of the estate of a tenant who dies before the expiration of the tenant's lease and was, at the time of the tenant's death, the sole occupant of a rental dwelling may terminate the tenant's rights and obligations under the lease and may vacate the leased premises and avoid liability for future rent and any other sums due under the lease for terminating the lease and vacating the leased premises before the end of the lease term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representative provides to the landlord or the landlord's agent written notice of the termination of the lease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deceased tenant's property is removed from the leased premises in accordance with Section 92.014(c) or (d);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representative signs an inventory of the removed property, if required by the landlord or the landlord's agent.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Termination of a lease under this section is effective on the later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30th day after the date on which the notice under Subsection (a) was provided;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on which all of the conditions in Subsection (a) have been met.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receipt of the notice provided under Subsection (a), the landlord shall provide a copy of the written lease agreement to the person who provided the notice on written request of that person.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affect the obligations or liability of the tenant or the tenant's estate under the lease before the lease is terminated under this section, including the liability of the tenant or the tenant's estate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delinquent, unpaid rent;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damages to the leased premises not caused by normal wear and tear.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landlord or landlord's agent who lawfully permits a person described by Subsection (a) to enter or facilitates the person's entry into the leased premises under this section is not liable for an act or omission that arises in connection with permitting or facilitating the entry.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92.0162, Property Code, as added by this Act, applies only to a lease agreement entered into on or after the effective date of this Act.  A lease agreement entered into before the effective date of this Act is governed by the law in effect at the time the lease agreement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2020.</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