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70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 strategic plan goal by the Department of Agriculture to prevent crop diseases and plant pests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12, Agriculture Code, is amended by adding Section 12.008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12.008.</w:t>
      </w:r>
      <w:r>
        <w:rPr>
          <w:u w:val="single"/>
        </w:rPr>
        <w:t xml:space="preserve"> </w:t>
      </w:r>
      <w:r>
        <w:rPr>
          <w:u w:val="single"/>
        </w:rPr>
        <w:t xml:space="preserve"> </w:t>
      </w:r>
      <w:r>
        <w:rPr>
          <w:u w:val="single"/>
        </w:rPr>
        <w:t xml:space="preserve">STRATEGIC PLAN GOAL: CROP DISEASE AND PLANT PEST PREVENTION.  The department shall include in the department's strategic plan required under Chapter 2056, Government Code, a goal of preventing crop diseases and plant pests in this state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improving the department's preventative management practices concerning crop diseases and plant pests;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increasing the performance of activities directly related to crop disease and plant pest prevention;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creating and implementing a strong surveillance program that includes activities designed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identify and locate any possible source of infection or exposure to domestic or foreign diseases or pests that affect crops grown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aid the department in the early detection of any domestic, foreign, or emerging crop diseases and plant pests;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evaluating the department's diagnostic procedures to ensure the performance of diagnostic evaluations and investigations occurs timely and accurately;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improving the effectiveness of the department's control and eradication methods;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evaluating and expanding, if necessary, the department's emergency management activities related to crop diseases and plant pests;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addressing how the department will educate farmers, agricultural producers, and communities that sustain agriculture in this state about crop disease and plant pest prevention.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Department of Agriculture shall, using existing funds, include in the first strategic plan under Chapter 2056, Government Code, issued after the effective date of this Act the goal and methods of implementing the goal required by Section 12.008, Agriculture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70 was passed by the House on April 30, 2019, by the following vote:</w:t>
      </w:r>
      <w:r xml:space="preserve">
        <w:t> </w:t>
      </w:r>
      <w:r xml:space="preserve">
        <w:t> </w:t>
      </w:r>
      <w:r>
        <w:t xml:space="preserve">Yeas 144, Nays 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70 was passed by the Senate on May 15,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