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86R18373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Zerwas, Allison, Zedler,</w:t>
      </w:r>
      <w:r xml:space="preserve">
        <w:tab wTab="150" tlc="none" cTlc="0"/>
      </w:r>
      <w:r>
        <w:t xml:space="preserve">H.B.</w:t>
      </w:r>
      <w:r xml:space="preserve">
        <w:t> </w:t>
      </w:r>
      <w:r>
        <w:t xml:space="preserve">No.</w:t>
      </w:r>
      <w:r xml:space="preserve">
        <w:t> </w:t>
      </w:r>
      <w:r>
        <w:t xml:space="preserve">75</w:t>
      </w:r>
    </w:p>
    <w:p w:rsidR="003F3435" w:rsidRDefault="0032493E">
      <w:pPr>
        <w:jc w:val="both"/>
      </w:pPr>
      <w:r xml:space="preserve">
        <w:t> </w:t>
      </w:r>
      <w:r xml:space="preserve">
        <w:t> </w:t>
      </w:r>
      <w:r xml:space="preserve">
        <w:t> </w:t>
      </w:r>
      <w:r xml:space="preserve">
        <w:t> </w:t>
      </w:r>
      <w:r xml:space="preserve">
        <w:t> </w:t>
      </w:r>
      <w:r>
        <w:t xml:space="preserve">Gervin-Hawkins,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75:</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application of the offense of possessing or delivering drug paraphernalia for persons involved in certain pilot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cited as the Honorable Ruth Jones McClendon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481.125,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an exception to the application of Subsections (a) and (b) that the person is an employee, volunteer, duly authorized agent, or participant in, or is otherwise involved in operating, a pilot program established under other law to prevent the spread of certain infectious and communicable diseases.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