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86R2560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exception to the application of the offense of possessing or delivering drug paraphernalia for persons involved in certain pilot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481.125, Health and Safety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an exception to the application of Subsections (a) and (b) that the person is an employee, volunteer, duly authorized agent, or participant in, or is otherwise involved in operating, a pilot program established under other law to prevent the spread of certain infectious and communicable diseases.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is committed before the effective date of this Act if any element of the offense occurs before the effective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