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86R3244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 Johnson of Dallas</w:t>
      </w:r>
      <w:r xml:space="preserve">
        <w:tab wTab="150" tlc="none" cTlc="0"/>
      </w:r>
      <w:r>
        <w:t xml:space="preserve">H.B.</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voter registration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13.002(a)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desiring to register to vote must submit an application to the registrar of the county in which the person resides. </w:t>
      </w:r>
      <w:r>
        <w:t xml:space="preserve"> </w:t>
      </w:r>
      <w:r>
        <w:t xml:space="preserve">Except as provided by Subsection (e), an application must be submitted by personal delivery, by mail, </w:t>
      </w:r>
      <w:r>
        <w:rPr>
          <w:u w:val="single"/>
        </w:rPr>
        <w:t xml:space="preserve">electronically through the official Internet website of this state in accordance with Section 13.009,</w:t>
      </w:r>
      <w:r>
        <w:t xml:space="preserve"> or by telephonic facsimile machine in accordance with Sections 13.143(d) and (d-2).</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13.009, a</w:t>
      </w:r>
      <w:r>
        <w:t xml:space="preserve"> [</w:t>
      </w:r>
      <w:r>
        <w:rPr>
          <w:strike/>
        </w:rPr>
        <w:t xml:space="preserve">A</w:t>
      </w:r>
      <w:r>
        <w:t xml:space="preserve">] registration application must be in writing and signed by the applicant.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13, Election Code, is amended by adding Sections 13.009 and 13.010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w:t>
      </w:r>
      <w:r>
        <w:rPr>
          <w:u w:val="single"/>
        </w:rPr>
        <w:t xml:space="preserve"> </w:t>
      </w:r>
      <w:r>
        <w:rPr>
          <w:u w:val="single"/>
        </w:rPr>
        <w:t xml:space="preserve">In this section, "digital signature" means an electronic identifier intended by the person using it to have the same force and effect as the use of a manual signature.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electronically transmitted application for voter registration issued or received by a registrar is considered signed if a digital signature is transmitted with the document.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implement a program to allow a person to complete and submit a voter registration application electronically through the official Internet website of this state. </w:t>
      </w:r>
      <w:r>
        <w:rPr>
          <w:u w:val="single"/>
        </w:rPr>
        <w:t xml:space="preserve"> </w:t>
      </w:r>
      <w:r>
        <w:rPr>
          <w:u w:val="single"/>
        </w:rPr>
        <w:t xml:space="preserve">The Internet websites of the secretary of state and the Department of Public Safety must also provide a link to the location of the application on the official Internet website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electronic voter registration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digital signature.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electronically transmitted application for voter registration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electronically transmitted application for voter registration is a written document for all purposes and exempt from any additional writing requirement under this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use of a digital signature under this section is subject to criminal laws pertaining to fraud and computer crimes, including Chapters 32 and 33, Penal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for voter registration submitted electronically.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w:t>
      </w:r>
      <w:r>
        <w:rPr>
          <w:u w:val="single"/>
        </w:rPr>
        <w:t xml:space="preserve"> </w:t>
      </w:r>
      <w:r>
        <w:rPr>
          <w:u w:val="single"/>
        </w:rPr>
        <w:t xml:space="preserve"> </w:t>
      </w:r>
      <w:r>
        <w:rPr>
          <w:u w:val="single"/>
        </w:rPr>
        <w:t xml:space="preserve">VOTER REGISTRATION THROUGH DEPARTMENT OF PUBLIC SAFETY.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13.010</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w:t>
      </w:r>
      <w:r>
        <w:t xml:space="preserve"> </w:t>
      </w:r>
      <w:r>
        <w:t xml:space="preserve">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t xml:space="preserve">[</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w:t>
      </w:r>
      <w:r>
        <w:t xml:space="preserve"> </w:t>
      </w:r>
      <w:r>
        <w:t xml:space="preserve">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