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86R926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indecency with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offense committed on or after the effective date of this Act and to any criminal action pending on the effective date of this Act for an offense committed before that effective date. </w:t>
      </w:r>
      <w:r>
        <w:t xml:space="preserve"> </w:t>
      </w:r>
      <w:r>
        <w:t xml:space="preserve">A final conviction for an offense under Section 21.11, Penal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