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election ballot.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order of the candidates' names on the ballot shall be </w:t>
      </w:r>
      <w:r>
        <w:rPr>
          <w:u w:val="single"/>
        </w:rPr>
        <w:t xml:space="preserve">the relative order of names on the original ballot</w:t>
      </w:r>
      <w:r>
        <w:t xml:space="preserve"> [</w:t>
      </w:r>
      <w:r>
        <w:rPr>
          <w:strike/>
        </w:rPr>
        <w:t xml:space="preserve">determined by a drawing in accordance with Section 52.094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52.075, Election Code, is amended to read as follows:</w:t>
      </w:r>
    </w:p>
    <w:p w:rsidR="003F3435" w:rsidRDefault="0032493E">
      <w:pPr>
        <w:spacing w:line="480" w:lineRule="auto"/>
        <w:ind w:firstLine="720"/>
        <w:jc w:val="both"/>
      </w:pPr>
      <w:r>
        <w:t xml:space="preserve">Sec.</w:t>
      </w:r>
      <w:r xml:space="preserve">
        <w:t> </w:t>
      </w:r>
      <w:r>
        <w:t xml:space="preserve">52.075.</w:t>
      </w:r>
      <w:r xml:space="preserve">
        <w:t> </w:t>
      </w:r>
      <w:r xml:space="preserve">
        <w:t> </w:t>
      </w:r>
      <w:r>
        <w:t xml:space="preserve">MODIFICATION OF BALLOT FORM FOR CERTAIN VOTING SYSTEMS.  </w:t>
      </w:r>
      <w:r>
        <w:rPr>
          <w:u w:val="single"/>
        </w:rPr>
        <w:t xml:space="preserve">(a)</w:t>
      </w:r>
      <w:r>
        <w:t xml:space="preserve">  The secretary of state may prescribe the form and content of a ballot for an election using a voting system, including an electronic voting system or a voting system that uses direct recording electronic voting machines </w:t>
      </w:r>
      <w:r>
        <w:rPr>
          <w:u w:val="single"/>
        </w:rPr>
        <w:t xml:space="preserve">or ballot marking devices</w:t>
      </w:r>
      <w:r>
        <w:t xml:space="preserve">, to conform to the formatting requirements of the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"ballot marking device," "direct recording electronic voting machine," "electronic voting system," and "voting system" have the meanings assigned by Section 121.003.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52.094(a)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for an election at which the names of more than one candidate for the same office are to appear on the ballot in an independent column or are to appear on a general or special election ballot that does not contain a party nominee, the order of the candidates' names shall be determined by a drawing. </w:t>
      </w:r>
      <w:r>
        <w:rPr>
          <w:u w:val="single"/>
        </w:rPr>
        <w:t xml:space="preserve">The order of the candidates' names on the ballot of any resulting runoff election or election held to resolve a tie vote shall be the relative order of names on the original election ballot.</w:t>
      </w:r>
      <w:r>
        <w:t xml:space="preserve"> </w:t>
      </w:r>
    </w:p>
    <w:p w:rsidR="003F3435" w:rsidRDefault="0032493E">
      <w:pPr>
        <w:spacing w:line="480" w:lineRule="auto"/>
        <w:ind w:firstLine="720"/>
        <w:jc w:val="both"/>
      </w:pPr>
      <w:r>
        <w:t xml:space="preserve">(c)</w:t>
      </w:r>
      <w:r xml:space="preserve">
        <w:t> </w:t>
      </w:r>
      <w:r xml:space="preserve">
        <w:t> </w:t>
      </w:r>
      <w:r>
        <w:t xml:space="preserve">The authority conducting the drawing shall post in the authority's office a notice of the date, hour, and place of the drawing.  The notice must remain posted continuously for 72 hours immediately preceding the scheduled time of the drawing[</w:t>
      </w:r>
      <w:r>
        <w:rPr>
          <w:strike/>
        </w:rPr>
        <w:t xml:space="preserve">, except that for a runoff election or an election held to resolve a tie vote, the notice must remain posted for 24 hours immediately preceding the scheduled time of the drawing</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121.003, Election Code, is amended by adding Subdivision (13) to read as follows: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"Ballot marking device" means a voting system with an electronic interface that allows a voter to mark a paper ballot.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88 was passed by the House on April 2, 2019, by the following vote:</w:t>
      </w:r>
      <w:r xml:space="preserve">
        <w:t> </w:t>
      </w:r>
      <w:r xml:space="preserve">
        <w:t> </w:t>
      </w:r>
      <w:r>
        <w:t xml:space="preserve">Yeas 145, Nays 0, 1 present, not voting; and that the House concurred in Senate amendments to H.B. No. 88 on May 22, 2019, by the following vote:</w:t>
      </w:r>
      <w:r xml:space="preserve">
        <w:t> </w:t>
      </w:r>
      <w:r xml:space="preserve">
        <w:t> </w:t>
      </w:r>
      <w:r>
        <w:t xml:space="preserve">Yeas 124, Nays 18,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88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