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86R780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residential mortgage loans, including the financing of residential real estate purchases by means of a wrap mortgage loan; providing licensing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 made by or on behalf of an owner of unimproved residential real estate to a purchaser of that residential real estate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residential real estate purchased will continue to be subject to an unreleased lien described by Subdivision (1) and the holder of that unreleased lien has consented to the sale of the residential real estate.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w:t>
      </w:r>
      <w:r>
        <w:rPr>
          <w:u w:val="single"/>
        </w:rPr>
        <w:t xml:space="preserve"> </w:t>
      </w:r>
      <w:r>
        <w:rPr>
          <w:u w:val="single"/>
        </w:rPr>
        <w:t xml:space="preserve"> </w:t>
      </w:r>
      <w:r>
        <w:rPr>
          <w:u w:val="single"/>
        </w:rPr>
        <w:t xml:space="preserve">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authorized lender licensed under Chapter 342;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(a)(5), two or more owners of residential real estate are considered a single owner for the purpose of computing the number of wrap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jc w:val="center"/>
      </w:pPr>
      <w:r>
        <w:rPr>
          <w:u w:val="single"/>
        </w:rPr>
        <w:t xml:space="preserve">SUBCHAPTER B.  LICENSING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REQUIRED.  (a)</w:t>
      </w:r>
      <w:r>
        <w:rPr>
          <w:u w:val="single"/>
        </w:rPr>
        <w:t xml:space="preserve"> </w:t>
      </w:r>
      <w:r>
        <w:rPr>
          <w:u w:val="single"/>
        </w:rPr>
        <w:t xml:space="preserve"> </w:t>
      </w:r>
      <w:r>
        <w:rPr>
          <w:u w:val="single"/>
        </w:rPr>
        <w:t xml:space="preserve">A person may not originate or make a wrap mortgage loan unless the person is licensed to originate or make residential mortgage loans under Chapter 156 or 157 or is exempt from licensing as provided under an applicable provision of those chapters.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requirement to hold a license under Subsection (a) applies to a person originating or making a wrap mortgage loan regardless of whether the person engages in a specific activity for which a license is required under Chapter 156 or 157 in connection with the originating or making of the loan.</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(a)</w:t>
      </w:r>
      <w:r>
        <w:rPr>
          <w:u w:val="single"/>
        </w:rPr>
        <w:t xml:space="preserve"> </w:t>
      </w:r>
      <w:r>
        <w:rPr>
          <w:u w:val="single"/>
        </w:rPr>
        <w:t xml:space="preserve"> </w:t>
      </w:r>
      <w:r>
        <w:rPr>
          <w:u w:val="single"/>
        </w:rPr>
        <w:t xml:space="preserve">A wrap lender not otherwise required to provide a written disclosure statement to the wrap borrower under Section 5.016, Property Code, must, on or before the seventh day before the wrap mortgage loan agreement is entered into, provide to the wrap borrower a separate written disclosure statement in at least 12-point type that contains the information required for a written disclosure statement under Section 5.016, Property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wrap lender provides a written disclosure statement under Subsection (a) or under Section 5.016, Property Code, the wrap lender's disclosure statement to the wrap borrower must include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Regardless of whether the wrap lender provides a written disclosure statement under Section 159.101 or under Section 5.016, Property Code, if the negotiations that precede the execution of the wrap mortgage loan agreement are conducted primarily in a language other than English, the wrap lender shall provide a copy of the required disclosure statement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w:t>
      </w:r>
      <w:r>
        <w:rPr>
          <w:u w:val="single"/>
        </w:rPr>
        <w:t xml:space="preserve"> </w:t>
      </w:r>
      <w:r>
        <w:rPr>
          <w:u w:val="single"/>
        </w:rPr>
        <w:t xml:space="preserve">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ENFORCEABILITY OF WRAP LIEN.  A lien securing a wrap mortgage loan is void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residential real estate was conveyed to the purchaser with the written consent of each holder of an unreleased lien described by Section 159.001(7)(A) and a copy of each lienholder's written consent is attached to the recorded instrument conveying the residential real estate;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wrap mortgage loan and the conveyance of the residential real estate securing the loan are closed by an attorney or a title company and an affidavit of a person knowledgeable of the facts regarding the closing location that confirms the closing location is attached to the recorded instrument conveying the residential real estate.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BORROWER'S RIGHT OF ACTION.  (a)</w:t>
      </w:r>
      <w:r>
        <w:rPr>
          <w:u w:val="single"/>
        </w:rPr>
        <w:t xml:space="preserve"> </w:t>
      </w:r>
      <w:r>
        <w:rPr>
          <w:u w:val="single"/>
        </w:rPr>
        <w:t xml:space="preserve"> </w:t>
      </w:r>
      <w:r>
        <w:rPr>
          <w:u w:val="single"/>
        </w:rPr>
        <w:t xml:space="preserve">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WAIVER OR AVOIDANCE PROHIBITED.  (a)</w:t>
      </w:r>
      <w:r>
        <w:rPr>
          <w:u w:val="single"/>
        </w:rPr>
        <w:t xml:space="preserve"> </w:t>
      </w:r>
      <w:r>
        <w:rPr>
          <w:u w:val="single"/>
        </w:rPr>
        <w:t xml:space="preserve"> </w:t>
      </w:r>
      <w:r>
        <w:rPr>
          <w:u w:val="single"/>
        </w:rPr>
        <w:t xml:space="preserve">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w:t>
      </w:r>
      <w:r>
        <w:rPr>
          <w:u w:val="single"/>
        </w:rPr>
        <w:t xml:space="preserve"> </w:t>
      </w:r>
      <w:r>
        <w:rPr>
          <w:u w:val="single"/>
        </w:rPr>
        <w:t xml:space="preserve">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wrap lender's obligations under each debt described by Section 159.001(7)(A)(ii) and any other obligation affecting the residential real estate for which the wrap lender is responsible.</w:t>
      </w:r>
    </w:p>
    <w:p w:rsidR="003F3435" w:rsidRDefault="0032493E">
      <w:pPr>
        <w:spacing w:line="480" w:lineRule="auto"/>
        <w:jc w:val="center"/>
      </w:pPr>
      <w:r>
        <w:rPr>
          <w:u w:val="single"/>
        </w:rPr>
        <w:t xml:space="preserve">SUBCHAPTER E. </w:t>
      </w:r>
      <w:r>
        <w:rPr>
          <w:u w:val="single"/>
        </w:rPr>
        <w:t xml:space="preserve"> </w:t>
      </w:r>
      <w:r>
        <w:rPr>
          <w:u w:val="single"/>
        </w:rPr>
        <w:t xml:space="preserve">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(a)</w:t>
      </w:r>
      <w:r>
        <w:rPr>
          <w:u w:val="single"/>
        </w:rPr>
        <w:t xml:space="preserve"> </w:t>
      </w:r>
      <w:r>
        <w:rPr>
          <w:u w:val="single"/>
        </w:rPr>
        <w:t xml:space="preserve"> </w:t>
      </w:r>
      <w:r>
        <w:rPr>
          <w:u w:val="single"/>
        </w:rPr>
        <w:t xml:space="preserve">Subject to Subsection (b),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wrap mortgage loan 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w:t>
      </w:r>
      <w:r>
        <w:rPr>
          <w:u w:val="single"/>
        </w:rPr>
        <w:t xml:space="preserve"> </w:t>
      </w:r>
      <w:r>
        <w:rPr>
          <w:u w:val="single"/>
        </w:rPr>
        <w:t xml:space="preserve">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w:t>
      </w:r>
      <w:r>
        <w:rPr>
          <w:u w:val="single"/>
        </w:rPr>
        <w:t xml:space="preserve"> </w:t>
      </w:r>
      <w:r>
        <w:rPr>
          <w:u w:val="single"/>
        </w:rPr>
        <w:t xml:space="preserve"> </w:t>
      </w:r>
      <w:r>
        <w:rPr>
          <w:u w:val="single"/>
        </w:rPr>
        <w:t xml:space="preserve">The commissioner may conduct an inspection of a wrap lender registered under Chapter 158 as the commissioner determines necessary to determine whether the wrap lender is complying with that chapter and applicable rules. </w:t>
      </w:r>
      <w:r>
        <w:rPr>
          <w:u w:val="single"/>
        </w:rPr>
        <w:t xml:space="preserve"> </w:t>
      </w:r>
      <w:r>
        <w:rPr>
          <w:u w:val="single"/>
        </w:rPr>
        <w:t xml:space="preserve">The inspection may include an inspection of the books, records, documents, operations, and facilities of the wrap lender. </w:t>
      </w:r>
      <w:r>
        <w:rPr>
          <w:u w:val="single"/>
        </w:rPr>
        <w:t xml:space="preserve"> </w:t>
      </w:r>
      <w:r>
        <w:rPr>
          <w:u w:val="single"/>
        </w:rPr>
        <w:t xml:space="preserve">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w:t>
      </w:r>
      <w:r>
        <w:rPr>
          <w:u w:val="single"/>
        </w:rPr>
        <w:t xml:space="preserve"> </w:t>
      </w:r>
      <w:r>
        <w:rPr>
          <w:u w:val="single"/>
        </w:rPr>
        <w:t xml:space="preserve">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w:t>
      </w:r>
      <w:r>
        <w:rPr>
          <w:u w:val="single"/>
        </w:rPr>
        <w:t xml:space="preserve"> </w:t>
      </w:r>
      <w:r>
        <w:rPr>
          <w:u w:val="single"/>
        </w:rPr>
        <w:t xml:space="preserve">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w:t>
      </w:r>
      <w:r>
        <w:rPr>
          <w:u w:val="single"/>
        </w:rPr>
        <w:t xml:space="preserve"> </w:t>
      </w:r>
      <w:r>
        <w:rPr>
          <w:u w:val="single"/>
        </w:rPr>
        <w:t xml:space="preserve">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w:t>
      </w:r>
      <w:r>
        <w:rPr>
          <w:u w:val="single"/>
        </w:rPr>
        <w:t xml:space="preserve"> </w:t>
      </w:r>
      <w:r>
        <w:rPr>
          <w:u w:val="single"/>
        </w:rPr>
        <w:t xml:space="preserve">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w:t>
      </w:r>
      <w:r>
        <w:rPr>
          <w:u w:val="single"/>
        </w:rPr>
        <w:t xml:space="preserve"> </w:t>
      </w:r>
      <w:r>
        <w:rPr>
          <w:u w:val="single"/>
        </w:rPr>
        <w:t xml:space="preserve">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w:t>
      </w:r>
      <w:r>
        <w:rPr>
          <w:u w:val="single"/>
        </w:rPr>
        <w:t xml:space="preserve"> </w:t>
      </w:r>
      <w:r>
        <w:rPr>
          <w:u w:val="single"/>
        </w:rPr>
        <w:t xml:space="preserve"> </w:t>
      </w:r>
      <w:r>
        <w:rPr>
          <w:u w:val="single"/>
        </w:rPr>
        <w:t xml:space="preserve">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not later than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w:t>
      </w:r>
      <w:r>
        <w:rPr>
          <w:u w:val="single"/>
        </w:rPr>
        <w:t xml:space="preserve"> </w:t>
      </w:r>
      <w:r>
        <w:rPr>
          <w:u w:val="single"/>
        </w:rPr>
        <w:t xml:space="preserve"> </w:t>
      </w:r>
      <w:r>
        <w:rPr>
          <w:u w:val="single"/>
        </w:rPr>
        <w:t xml:space="preserve">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five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1.002(1), Business Organizations Code, or if any of the owners have substantially common ownership, as determined by the savings and mortgage lending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