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93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 9,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inclusion of a magistrate's name on certain signed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2.101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2.101.</w:t>
      </w:r>
      <w:r>
        <w:rPr>
          <w:u w:val="single"/>
        </w:rPr>
        <w:t xml:space="preserve"> </w:t>
      </w:r>
      <w:r>
        <w:rPr>
          <w:u w:val="single"/>
        </w:rPr>
        <w:t xml:space="preserve"> </w:t>
      </w:r>
      <w:r>
        <w:rPr>
          <w:u w:val="single"/>
        </w:rPr>
        <w:t xml:space="preserve">MAGISTRATE'S NAME ON SIGNED ORDER.  Any signed order that is issued by a magistrate under this code or any signed order pertaining to a criminal matter that is issued by a magistrate under the Family Code, the Government Code, or other law of this state must include, with the magistrate's signature, the magistrate's name in legible handwriting, legible typewritten form, or legible stamp print.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in adding Article 2.101, Code of Criminal Procedure, applies to a signed order issued by a magistrate on or after the effective date of this Act. </w:t>
      </w:r>
      <w:r>
        <w:t xml:space="preserve"> </w:t>
      </w:r>
      <w:r>
        <w:t xml:space="preserve">A signed order issued by a magistrate before the effective date of this Act is governed by the law in effect on the date the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