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86R15857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Rose, González of Dallas,</w:t>
      </w:r>
      <w:r xml:space="preserve">
        <w:tab wTab="150" tlc="none" cTlc="0"/>
      </w:r>
      <w:r>
        <w:t xml:space="preserve">H.B.</w:t>
      </w:r>
      <w:r xml:space="preserve">
        <w:t> </w:t>
      </w:r>
      <w:r>
        <w:t xml:space="preserve">No.</w:t>
      </w:r>
      <w:r xml:space="preserve">
        <w:t> </w:t>
      </w:r>
      <w:r>
        <w:t xml:space="preserve">101</w:t>
      </w:r>
    </w:p>
    <w:p w:rsidR="003F3435" w:rsidRDefault="0032493E">
      <w:pPr>
        <w:jc w:val="both"/>
      </w:pPr>
      <w:r xml:space="preserve">
        <w:t> </w:t>
      </w:r>
      <w:r xml:space="preserve">
        <w:t> </w:t>
      </w:r>
      <w:r xml:space="preserve">
        <w:t> </w:t>
      </w:r>
      <w:r xml:space="preserve">
        <w:t> </w:t>
      </w:r>
      <w:r xml:space="preserve">
        <w:t> </w:t>
      </w:r>
      <w:r>
        <w:t xml:space="preserve">Zedler, Murr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101:</w:t>
      </w: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C.S.H.B.</w:t>
      </w:r>
      <w:r xml:space="preserve">
        <w:t> </w:t>
      </w:r>
      <w:r>
        <w:t xml:space="preserve">No.</w:t>
      </w:r>
      <w:r xml:space="preserve">
        <w:t> </w:t>
      </w:r>
      <w:r>
        <w:t xml:space="preserve">101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false caller identification information display.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33A, Penal Code, is amended by adding Section 33A.051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33A.051.</w:t>
      </w:r>
      <w:r>
        <w:rPr>
          <w:u w:val="single"/>
        </w:rPr>
        <w:t xml:space="preserve"> </w:t>
      </w:r>
      <w:r>
        <w:rPr>
          <w:u w:val="single"/>
        </w:rPr>
        <w:t xml:space="preserve"> </w:t>
      </w:r>
      <w:r>
        <w:rPr>
          <w:u w:val="single"/>
        </w:rPr>
        <w:t xml:space="preserve">FALSE CALLER IDENTIFICATION INFORMATION DISPLAY.  (a)  A person commits an offense if the person, with the intent to defraud, harass, or cause harm, makes a call or engages in any other conduct using any type of technology that results in the display on another person's telecommunications device of data that misrepresents the actor's identity or telephone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chapter, a conviction for an offense under this section may not be used for enhancement purposes under any other section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blocked caller identification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peace officer or federal law enforcement officer lawfully discharging an official duty;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an officer, agent, or employee of a federal intelligence or security agency lawfully discharging an official duty;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an officer, agent, or employee of a telecommunications service provider who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acting in the provider's capacity as an intermediary for the transmission of telephone service, a Voice over Internet Protocol transmission, or another type of telecommunications transmission between the caller and the recipient;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or configuring a service or service feature as requested by a customer;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acting in a manner that is authorized or required by other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other conduct that is a necessary incident to the provision of service;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was a private investigator licensed under Chapter 1702, Occupations Code, lawfully conducting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"telecommunications service provider" means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telecommunications provider, as defined by Section 51.002, Utilities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provider of telecommunications service, advanced communications services, or information service, as those terms are defined by 47 U.S.C. Section 153.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