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 et al.</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101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3,</w:t>
      </w:r>
      <w:r xml:space="preserve">
        <w:t> </w:t>
      </w:r>
      <w:r>
        <w:t xml:space="preserve">2019; April</w:t>
      </w:r>
      <w:r xml:space="preserve">
        <w:t> </w:t>
      </w:r>
      <w:r>
        <w:t xml:space="preserve">4,</w:t>
      </w:r>
      <w:r xml:space="preserve">
        <w:t> </w:t>
      </w:r>
      <w:r>
        <w:t xml:space="preserve">2019, read first time and referred to Committee on Criminal Justice; May</w:t>
      </w:r>
      <w:r xml:space="preserve">
        <w:t> </w:t>
      </w:r>
      <w:r>
        <w:t xml:space="preserve">17,</w:t>
      </w:r>
      <w:r xml:space="preserve">
        <w:t> </w:t>
      </w:r>
      <w:r>
        <w:t xml:space="preserve">2019, reported favorably by the following vote:</w:t>
      </w:r>
      <w:r>
        <w:t xml:space="preserve"> </w:t>
      </w:r>
      <w:r>
        <w:t xml:space="preserve"> </w:t>
      </w:r>
      <w:r>
        <w:t xml:space="preserve">Yeas 6,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criminal offense of false caller identification information display.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33A, Penal Code, is amended by adding Section 33A.051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33A.051.</w:t>
      </w:r>
      <w:r>
        <w:rPr>
          <w:u w:val="single"/>
        </w:rPr>
        <w:t xml:space="preserve"> </w:t>
      </w:r>
      <w:r>
        <w:rPr>
          <w:u w:val="single"/>
        </w:rPr>
        <w:t xml:space="preserve"> </w:t>
      </w:r>
      <w:r>
        <w:rPr>
          <w:u w:val="single"/>
        </w:rPr>
        <w:t xml:space="preserve">FALSE CALLER IDENTIFICATION INFORMATION DISPLAY.  (a)  A person commits an offense if the person, with the intent to defraud or cause harm, makes a call or engages in any other conduct using any type of technology that results in the display on another person's telecommunications device of data that misrepresents the actor's identity or telephone number.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provision of this chapter, a conviction for an offense under this section may not be used for enhancement purposes under any other section of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It is a defense to prosecution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blocked caller identification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a peace officer or federal law enforcement officer lawfully discharging an official duty;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was an officer, agent, or employee of a federal intelligence or security agency lawfully discharging an official duty;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was an officer, agent, or employee of a telecommunications service provider who was: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acting in the provider's capacity as an intermediary for the transmission of telephone service, a Voice over Internet Protocol transmission, or another type of telecommunications transmission between the caller and the recipient;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providing or configuring a service or service feature as requested by a customer;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acting in a manner that is authorized or required by other law;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engaging in other conduct that is a necessary incident to the provision of service;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was a private investigator licensed under Chapter 1702, Occupations Code, lawfully conducting an investigation.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the purposes of this section, "telecommunications service provider" means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telecommunications provider, as defined by Section 51.002, Utilities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provider of telecommunications service, advanced communications services, or information service, as those terms are defined by 47 U.S.C. Section 153.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