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open-enrollment charter schools on Memorial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r>
        <w:rPr>
          <w:u w:val="single"/>
        </w:rPr>
        <w:t xml:space="preserve">, except that a district may be exempt from Section 25.081(f), as added by Chapter 1144 (H.B. 441), Acts of the 85th Legislature, Regular Session, 2017</w:t>
      </w:r>
      <w:r>
        <w:t xml:space="preserve">;</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and</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25.081(f), Education Code, as added by Chapter 1144 (H.B. 441),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A school district </w:t>
      </w:r>
      <w:r>
        <w:rPr>
          <w:u w:val="single"/>
        </w:rPr>
        <w:t xml:space="preserve">or open-enrollment charter school</w:t>
      </w:r>
      <w:r>
        <w:t xml:space="preserve"> may not provide student instruction on Memorial Day.  If a school district </w:t>
      </w:r>
      <w:r>
        <w:rPr>
          <w:u w:val="single"/>
        </w:rPr>
        <w:t xml:space="preserve">or open-enrollment charter school</w:t>
      </w:r>
      <w:r>
        <w:t xml:space="preserve"> would be required to provide student instruction on Memorial Day to compensate for minutes of instruction lost because of school closures caused by disaster, flood, extreme weather conditions, fuel curtailment, or another calamity, the commissioner shall approve the instruction of students for fewer than the number of minutes required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109 was passed by the House on March 20, 2019, by the following vote:</w:t>
      </w:r>
      <w:r xml:space="preserve">
        <w:t> </w:t>
      </w:r>
      <w:r xml:space="preserve">
        <w:t> </w:t>
      </w:r>
      <w:r>
        <w:t xml:space="preserve">Yeas 147, Nays 0, 1 present, not voting; </w:t>
      </w:r>
      <w:r>
        <w:t xml:space="preserve">that the House concurred in Senate amendments to H.B. No. 109 on May 22, 2019, by the following vote:</w:t>
      </w:r>
      <w:r xml:space="preserve">
        <w:t> </w:t>
      </w:r>
      <w:r xml:space="preserve">
        <w:t> </w:t>
      </w:r>
      <w:r>
        <w:t xml:space="preserve">Yeas 135, Nays 6, 2 present, not voting; and that the House adopted H.C.R. No. 185 authorizing certain corrections in H.B. No. 109 on May 24, 2019, by the following vote: 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109 was passed by the Senate, with amendments, on May 15, 2019, by the following vote:</w:t>
      </w:r>
      <w:r xml:space="preserve">
        <w:t> </w:t>
      </w:r>
      <w:r xml:space="preserve">
        <w:t> </w:t>
      </w:r>
      <w:r>
        <w:t xml:space="preserve">Yeas 31, Nays 0; and that the Senate adopted H.C.R. No. 185 authorizing certain corrections in H.B. No. 109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