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86R15633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Martinez, Thierry</w:t>
      </w:r>
      <w:r xml:space="preserve">
        <w:tab wTab="150" tlc="none" cTlc="0"/>
      </w:r>
      <w:r>
        <w:t xml:space="preserve">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vehicle description on an application for the registration of an automated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502.0431.</w:t>
      </w:r>
      <w:r>
        <w:rPr>
          <w:u w:val="single"/>
        </w:rPr>
        <w:t xml:space="preserve"> </w:t>
      </w:r>
      <w:r>
        <w:rPr>
          <w:u w:val="single"/>
        </w:rPr>
        <w:t xml:space="preserve"> </w:t>
      </w:r>
      <w:r>
        <w:rPr>
          <w:u w:val="single"/>
        </w:rPr>
        <w:t xml:space="preserve">APPLICATION FOR REGISTRATION OF AUTOMATED MOTOR VEHICLE.  An applicant for registration of an automated motor vehicle, as defined by Section 545.451, must indicate in the vehicle description required under Section 502.043(a) that the vehicle is an automated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