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public high school students information regarding the availability of college credit awarded for military experience, education, and training obtained during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33.007,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w:t>
      </w:r>
      <w:r xml:space="preserve">
        <w:t> </w:t>
      </w:r>
      <w:r xml:space="preserve">
        <w:t> </w:t>
      </w:r>
      <w:r>
        <w:t xml:space="preserve">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Information provided under Subsection (b)(11) must explain to any student who is enlisted or intends to enlist in the armed forces of the United States the informational materials developed under Section 302.0031(h), Labor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302.0031, Labor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Section 33.007(b)(11), Education Code, the commission, in cooperation with the Texas Higher Education Coordinating Board, shall develop and annually make available to each school district and each open-enrollment charter school that offers a high school program informational materials regarding the availability of college credit awarded by institutions of higher education to veterans and military servicemembers for military experience, education, and training obtained during military service, including information regarding the program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33.007,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September 1, 2020, the Texas Workforce Commission, in cooperation with the Texas Higher Education Coordinating Board, shall develop and make available to each school district and each open-enrollment charter school that offers a high school program the informational materials required under Section 302.0031(h),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