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86R1677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115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report by certain vessel operators on gambling device payout percentages;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2003, Occupations Code, is amended by adding Subchapter D to read as follows:</w:t>
      </w:r>
    </w:p>
    <w:p w:rsidR="003F3435" w:rsidRDefault="0032493E">
      <w:pPr>
        <w:spacing w:line="480" w:lineRule="auto"/>
        <w:jc w:val="center"/>
      </w:pPr>
      <w:r>
        <w:rPr>
          <w:u w:val="single"/>
        </w:rPr>
        <w:t xml:space="preserve">SUBCHAPTER D.  REPORT ON GAMBLING DEVICE PAYOUT PERCENTAGES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2003.151.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Texas Lottery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"Gambling device" has the meaning assigned by Section 47.01, Penal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"Payout percentage"</w:t>
      </w:r>
      <w:r>
        <w:rPr>
          <w:u w:val="single"/>
        </w:rPr>
        <w:t xml:space="preserve"> </w:t>
      </w:r>
      <w:r>
        <w:rPr>
          <w:u w:val="single"/>
        </w:rPr>
        <w:t xml:space="preserve">means the percentage of the total amount of consideration wagered to play a gambling device that is paid as prizes to players of the device.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2003.152.</w:t>
      </w:r>
      <w:r>
        <w:rPr>
          <w:u w:val="single"/>
        </w:rPr>
        <w:t xml:space="preserve"> </w:t>
      </w:r>
      <w:r>
        <w:rPr>
          <w:u w:val="single"/>
        </w:rPr>
        <w:t xml:space="preserve"> </w:t>
      </w:r>
      <w:r>
        <w:rPr>
          <w:u w:val="single"/>
        </w:rPr>
        <w:t xml:space="preserve">GAMBLING DEVICE PAYOUT PERCENTAGE REPORT.  The operator of a vessel to which this chapter applies shall annually submit to the commission a gambling device payout percentage report.  The report must include for each gambling device operated on the vessel during the preceding calendar year: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programmed payout percentage for the device;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actual payout percentage for the device;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information used to calculate the actual payout percentage under Subdivision (2), including the total amount of consideration paid to play the device, number of times the device was played, and total amount paid in prizes by the device.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2003.153.</w:t>
      </w:r>
      <w:r>
        <w:rPr>
          <w:u w:val="single"/>
        </w:rPr>
        <w:t xml:space="preserve"> </w:t>
      </w:r>
      <w:r>
        <w:rPr>
          <w:u w:val="single"/>
        </w:rPr>
        <w:t xml:space="preserve"> </w:t>
      </w:r>
      <w:r>
        <w:rPr>
          <w:u w:val="single"/>
        </w:rPr>
        <w:t xml:space="preserve">PUBLICATION OF REPORT.  The commission shall promptly publish each gambling device payout percentage report submitted under Section 2003.152 on the commission's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2003.154.</w:t>
      </w:r>
      <w:r>
        <w:rPr>
          <w:u w:val="single"/>
        </w:rPr>
        <w:t xml:space="preserve"> </w:t>
      </w:r>
      <w:r>
        <w:rPr>
          <w:u w:val="single"/>
        </w:rPr>
        <w:t xml:space="preserve"> </w:t>
      </w:r>
      <w:r>
        <w:rPr>
          <w:u w:val="single"/>
        </w:rPr>
        <w:t xml:space="preserve">DISTRIBUTION OF REPORT TO MUNICIPALITY.  The commission shall provide an electronic copy of each report submitted under Section 2003.152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municipality that regulates the vessel under Section 2003.101.</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2003.155.</w:t>
      </w:r>
      <w:r>
        <w:rPr>
          <w:u w:val="single"/>
        </w:rPr>
        <w:t xml:space="preserve"> </w:t>
      </w:r>
      <w:r>
        <w:rPr>
          <w:u w:val="single"/>
        </w:rPr>
        <w:t xml:space="preserve"> </w:t>
      </w:r>
      <w:r>
        <w:rPr>
          <w:u w:val="single"/>
        </w:rPr>
        <w:t xml:space="preserve">RULES.  The commission shall adopt rules necessary to implement this subchapter, including rules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the time for submission of a report under Section 2003.152;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prescribe the form and content of a report under Section 2003.152.</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2003.156.</w:t>
      </w:r>
      <w:r>
        <w:rPr>
          <w:u w:val="single"/>
        </w:rPr>
        <w:t xml:space="preserve"> </w:t>
      </w:r>
      <w:r>
        <w:rPr>
          <w:u w:val="single"/>
        </w:rPr>
        <w:t xml:space="preserve"> </w:t>
      </w:r>
      <w:r>
        <w:rPr>
          <w:u w:val="single"/>
        </w:rPr>
        <w:t xml:space="preserve">CIVIL PENALTY.  (a)  A person who violates this subchapter or a rule adopted under this subchapter is liable to this state for a civil penalty of not more than $1,000 for each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the penalty shall be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seriousness of the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history of previous violations;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necessary to deter a future violation;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matter that justice may require.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at the request of the commission, may sue to collect a civil penalty under this section.  In the suit the attorney general may recover, on behalf of the state, the reasonable expenses incurred in obtaining the penalty, including investigation and court costs, reasonable attorney's fees, witness fees, and other expenses.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467.101(c),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 also has the powers and duties granted under:</w:t>
      </w:r>
    </w:p>
    <w:p w:rsidR="003F3435" w:rsidRDefault="0032493E">
      <w:pPr>
        <w:spacing w:line="480" w:lineRule="auto"/>
        <w:ind w:firstLine="1440"/>
        <w:jc w:val="both"/>
      </w:pPr>
      <w:r>
        <w:t xml:space="preserve">(1)</w:t>
      </w:r>
      <w:r xml:space="preserve">
        <w:t> </w:t>
      </w:r>
      <w:r xml:space="preserve">
        <w:t> </w:t>
      </w:r>
      <w:r>
        <w:t xml:space="preserve">Chapter 2001, Occupations Code;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Chapter 466 of this code</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Subchapter D, Chapter 2003, Occupations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2019, the Texas Lottery Commission shall adopt rules necessary to implement Subchapter D, Chapter 2003, Occupations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