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86R1892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122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medical use of marihuana; providing an affirmative defense to prosecution for possession of marihuana.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481.121, Health and Safety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affirmative defense to prosecution under Subsection (a) that the person possessed the marihuana: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a patient of a physician licensed to practice medicine in this state pursuant to the recommendation of that physician for the amelioration of the symptoms or effects of a medical condition;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the primary caregiver of a patient described by Subdivision (1), and the person possessed the marihuana only with intent to assist the patient.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agency, including a law enforcement agency, of this state or a political subdivision of this state may not initiate an administrative, civil, or criminal investigation into a physician licensed to practice medicine in this state solely on the ground that the physician: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discussed marihuana as a treatment option with a patient of the physician;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 written or oral statement that, in the physician's professional opinion, the potential benefits of the use of marihuana would likely outweigh the health risks for a particular patient.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164, Occupations Code, is amended by adding Section 164.0535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164.0535.</w:t>
      </w:r>
      <w:r>
        <w:rPr>
          <w:u w:val="single"/>
        </w:rPr>
        <w:t xml:space="preserve"> </w:t>
      </w:r>
      <w:r>
        <w:rPr>
          <w:u w:val="single"/>
        </w:rPr>
        <w:t xml:space="preserve"> </w:t>
      </w:r>
      <w:r>
        <w:rPr>
          <w:u w:val="single"/>
        </w:rPr>
        <w:t xml:space="preserve">MEDICAL USE OF MARIHUANA.  A physician may not be denied any right or privilege or be subject to any disciplinary action solely for making a written or oral statement that, in the physician's professional opinion, the potential benefits of the use of marihuana would likely outweigh the health risks for a particular patient.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