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educator certification and assignment requirements to school districts of innovation.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rPr>
          <w:u w:val="single"/>
        </w:rPr>
        <w:t xml:space="preserve">requirements under federal law regarding the assignment of appropriately certified educators for bilingual education and special education;</w:t>
      </w:r>
    </w:p>
    <w:p w:rsidR="003F3435" w:rsidRDefault="0032493E">
      <w:pPr>
        <w:spacing w:line="480" w:lineRule="auto"/>
        <w:ind w:firstLine="1440"/>
        <w:jc w:val="both"/>
      </w:pPr>
      <w:r>
        <w:rPr>
          <w:u w:val="single"/>
        </w:rPr>
        <w:t xml:space="preserve">(4)</w:t>
      </w:r>
      <w:r xml:space="preserve">
        <w:t> </w:t>
      </w:r>
      <w:r xml:space="preserve">
        <w:t> </w:t>
      </w:r>
      <w:r>
        <w:t xml:space="preserve">state curriculum and graduation requirements adopted under Chapter 28;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academic and financial accountability and sanctions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12A.004(a), Education Code, as amended by this Act, applies only to a local innovation plan adopted or renewed on or after the effective date of this Act.  A local innovation plan adopted or renewed before the effective date of this Act is governed by the law in effect on the date the plan was adopted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