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86R1253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126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time limits on a delay in the state's readiness to proceed with the trial of a criminal case.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17.151, Code of Criminal Procedure, is amended by adding Section 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The court may enter an order extending a period described by Section 1 for an additional period of 30 days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court determines at a hearing under Subsection (b) that good cause exists for the extension;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 is accused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offense under Section 20A.03, Penal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offense described by Article 42A.054 or 62.001(5).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oral or written request by the attorney representing the state, the court shall conduct a hearing to determine whether good cause exists for extending a period described by Section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court may grant only two 30-day extensions under this section in connection with the specific offense on which the accusation is based.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 person who is arrested on or after the effective date of this Act, regardless of when the offense giving rise to the arrest was committed.  A person who is arrested before the effective date of this Act is governed by the law in effect on the date the person was arrested,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