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86R944 KJE-D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González of El Paso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funding for open-enrollment charter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12.106(a-1) and (a-2),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(a-1)</w:t>
      </w:r>
      <w:r xml:space="preserve">
        <w:t> </w:t>
      </w:r>
      <w:r xml:space="preserve">
        <w:t> </w:t>
      </w:r>
      <w:r>
        <w:t xml:space="preserve">In determining funding for an open-enrollment charter school under Subsection (a):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adjustments under Sections 42.102, 42.104, and 42.105 are based on </w:t>
      </w:r>
      <w:r>
        <w:rPr>
          <w:u w:val="single"/>
        </w:rPr>
        <w:t xml:space="preserve">the lesser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the average adjustment for the state;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adjustment for the school district within whose boundaries the charter holder's campus with the greatest enrollment is located;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adjustment under Section 42.103 is based on </w:t>
      </w:r>
      <w:r>
        <w:rPr>
          <w:u w:val="single"/>
        </w:rPr>
        <w:t xml:space="preserve">the lesser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the average adjustment for the state that would have been provided under that section as it existed on January 1, 2018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adjustment for the school district within whose boundaries the charter holder's campus with the greatest enrollment is located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(a-2)</w:t>
      </w:r>
      <w:r xml:space="preserve">
        <w:t> </w:t>
      </w:r>
      <w:r xml:space="preserve">
        <w:t> </w:t>
      </w:r>
      <w:r>
        <w:t xml:space="preserve">In addition to the funding provided by Subsection (a), a charter holder is entitled to receive for the open-enrollment charter school enrichment funding under Section 42.302 based on </w:t>
      </w:r>
      <w:r>
        <w:rPr>
          <w:u w:val="single"/>
        </w:rPr>
        <w:t xml:space="preserve">the lesser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state average tax effort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tax effort of the school district within whose boundaries the charter holder's campus with the greatest enrollment is located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