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86R1702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form of ballot propositions in an election seeking authorization for the issuance of school district bonds supported by property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governing board or commissioners court may not include more than one project or category of expenditure in any proposition submitted to authorize the issuance of bonds.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