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86R2776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regulation of working animals by counties and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WORKING ANIMAL BAN PROHIBITED.  A county or municipality may not adopt or enforce a charter provision, ordinance, order, or other regulation that prohibits, directly or indirectly, the use of an animal for the purpose of performing a specific duty for a business, including entertainment, transportation, education, or exhibition.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