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142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notice of educational rights for certain student evaluations.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29, Education Code, is amended by adding Section 29.023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29.023.</w:t>
      </w:r>
      <w:r>
        <w:rPr>
          <w:u w:val="single"/>
        </w:rPr>
        <w:t xml:space="preserve"> </w:t>
      </w:r>
      <w:r>
        <w:rPr>
          <w:u w:val="single"/>
        </w:rPr>
        <w:t xml:space="preserve"> </w:t>
      </w:r>
      <w:r>
        <w:rPr>
          <w:u w:val="single"/>
        </w:rPr>
        <w:t xml:space="preserve">NOTICE OF RIGHTS.  (a)  The agency shall develop a notice for distribution as provided by Subsection (c) and posting on the agency's Internet website that indicates: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change made from 2016 to 2017 in reporting requirements for school districts and open-enrollment charter schools regarding the special education representation indicator adopted in the Performance-Based Monitoring Analysis System Manual;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plain language, the rights of a child under both federal and state law and the general process available to initiate a referral of a child for a full individual and initial evaluation under Section 29.004 to determine the child's eligibility for special education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open-enrollment charter school shall include in the notice developed by the agency under Subsection (a) information indicating where the local processes and procedures for initiating a referral for special education services eligibility evaluation may be found.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By a date established by the commissioner, each school district or open-enrollment charter school shall provide the notice to the parent of each child who attends school in the district or at the school at any time during the 2019-2020 school year.  A school district or open-enrollment charter school shall also make the notice available on request to any person.  The notice must be available in English and Spanish, and a school district or open-enrollment charter school shall make a good faith effort to provide the notice in the parent's native language if the parent's native language is a language other than English or Spanish.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notice is in addition to requirements imposed by Section 26.0081.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adopt rules necessary to implement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