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86R1646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notice of educational rights and recovery by school districts and open-enrollment charter schools of costs for certain student evaluations.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OF RIGHTS; COST RECOVERY PROGRAM.  (a)  The agency shall develop a notice for distribution as provided by Subsection (c) and posting on the agency's Internet website that indicates: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change made from 2016 to 2017 in reporting requirements for school districts and open-enrollment charter schools regarding the special education representation indicator adopted in the Performance-Based Monitoring Analysis System Manual;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plain language, the rights of a child under both federal and state law and the general process available to initiate a referral of a child for a full individual and initial evaluation under Section 29.004 to determine the child's eligibility for special education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shall include in the notice developed by the agency under Subsection (a) information indicating where the local processes and procedures for initiating a referral for special education services eligibility evaluation may be found.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a date established by the commissioner, each school district or open-enrollment charter school shall provide the notice to the parent of each child who attends school in the district or at the school at any time during the 2019-2020 school year.  A school district or open-enrollment charter school shall also make the notice available on request to any person.  The notice must be available in English and Spanish, and a school district or open-enrollment charter school shall make a good faith effort to provide the notice in the parent's native language if the parent's native language is a language other than English or Spanish.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notice is in addition to requirements imposed by Section 26.0081.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with the 2019-2020 school year, from federal funds available for this purpose, the agency shall establish a reimbursement fund from which school districts and open-enrollment charter schools may apply and receive cost reimbursement if the district or school experiences a significant increase from the preceding school year in the number of full individual and initial evaluations conducted under Section 29.004.  A decision by the commissioner to provide reimbursement from the fund is final and may not be appealed.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