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86R3116 MCK-D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Moody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147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access to certain law enforcement, corrections, and prosecutorial records under the public information law.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552.108, Government Code, is amended by adding Subsection (d)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Information described by Subsection (a)(2) or an internal record or notation described by Subsection (b)(2) is not excepted from the requirements of Section 552.021 if: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each person who is the subject of the information, record, or notation: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deceased;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consents to the release of the information, record, or notation;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information, record, or notation relates to a peace officer who is the subject of a criminal or internal investigation arising out of the peace officer's involvement in the detection, investigation, or prosecution of a crime.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552.108(d), Government Code, as added by this Act, applies to information, records, and notations collected, made, assembled, or maintained on, before,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147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