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provided to a court regarding a defendant confined in a state jail felony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42A.558, Code of Criminal Procedure,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On request of the judge, the Texas Department of Criminal Justice shall, not later than the 60th day after the date the defendant is received into the custody of a state jail felony facility, notify the judge of the date on which the defendant will have served 75 days in the facility. The notice must be provided by e-mail or other electronic communication.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purposes of Subsection (b-1), the judge may submit a single request to the Texas Department of Criminal Justice with respect to all applicable defendants sentenced in the judge's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Article 42A.558, Code of Criminal Procedure, applies only to a defendant who receives a sentence of confinement in a state jail on or after the effective date of this Act.  A defendant who receives a sentence of confinement in a state jail before the effective date of this Act is governed by the law in effect at the time of sentencing,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