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156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supervision by a personal bond office of individuals granted an occupational driver's license; providing for an administrative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521.2462, Transportation Code, is amended by amending Subsection (a) and adding Subsections (a-1), (a-2), and (a-3) to read as follows:</w:t>
      </w:r>
    </w:p>
    <w:p w:rsidR="003F3435" w:rsidRDefault="0032493E">
      <w:pPr>
        <w:spacing w:line="480" w:lineRule="auto"/>
        <w:ind w:firstLine="720"/>
        <w:jc w:val="both"/>
      </w:pPr>
      <w:r>
        <w:t xml:space="preserve">(a)</w:t>
      </w:r>
      <w:r xml:space="preserve">
        <w:t> </w:t>
      </w:r>
      <w:r xml:space="preserve">
        <w:t> </w:t>
      </w:r>
      <w:r>
        <w:t xml:space="preserve">The court granting an occupational license under this subchapter may order the person receiving the license to[</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submit to supervision </w:t>
      </w:r>
      <w:r>
        <w:rPr>
          <w:u w:val="single"/>
        </w:rPr>
        <w:t xml:space="preserve">for the purpose of verifying the person's</w:t>
      </w:r>
      <w:r>
        <w:t xml:space="preserve"> [</w:t>
      </w:r>
      <w:r>
        <w:rPr>
          <w:strike/>
        </w:rPr>
        <w:t xml:space="preserve">by the local community supervision and corrections department to verify</w:t>
      </w:r>
      <w:r>
        <w:t xml:space="preserve">] compliance with the conditions specified by the order granting the license, including the conditions specified in accordance with Section 521.248</w:t>
      </w:r>
      <w:r>
        <w:rPr>
          <w:u w:val="single"/>
        </w:rPr>
        <w:t xml:space="preserve">.</w:t>
      </w:r>
      <w:r>
        <w:t xml:space="preserve"> </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court may order the supervision of the person to be conducted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local community supervision and corrections department;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personal bond office established under Article 17.42, Code of Criminal Procedure.</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If the court orders the person's supervision to be conducted by the local community supervision and corrections department, the court shall order the person to</w:t>
      </w:r>
      <w:r>
        <w:t xml:space="preserve">[</w:t>
      </w:r>
      <w:r>
        <w:rPr>
          <w:strike/>
        </w:rPr>
        <w:t xml:space="preserve">;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pay a monthly administrative fee under Section 76.015, Government Code.</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If the court orders the person's supervision to be conducted by a personal bond office, the office may collect from the person a reasonable administrative fee of not less than $25 and not more than $60 per month.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521.251(d-1), Transportation Code, is amended to read as follows:</w:t>
      </w:r>
    </w:p>
    <w:p w:rsidR="003F3435" w:rsidRDefault="0032493E">
      <w:pPr>
        <w:spacing w:line="480" w:lineRule="auto"/>
        <w:ind w:firstLine="720"/>
        <w:jc w:val="both"/>
      </w:pPr>
      <w:r>
        <w:t xml:space="preserve">(d-1)</w:t>
      </w:r>
      <w:r xml:space="preserve">
        <w:t> </w:t>
      </w:r>
      <w:r xml:space="preserve">
        <w:t> </w:t>
      </w:r>
      <w:r>
        <w:t xml:space="preserve">Notwithstanding Subsections (b), (c), and (d), the court may issue an occupational license to a person if the person submits proof the person has an ignition interlock device installed on each motor vehicle owned or operated by the person. </w:t>
      </w:r>
      <w:r>
        <w:t xml:space="preserve"> </w:t>
      </w:r>
      <w:r>
        <w:t xml:space="preserve">If a person issued an occupational license under this subsection fails to maintain an installed ignition interlock device on each motor vehicle owned or operated by the person, the court shall revoke the occupational license under Section 521.252 and reinstate the suspension of the person's driver's license. </w:t>
      </w:r>
      <w:r>
        <w:t xml:space="preserve"> </w:t>
      </w:r>
      <w:r>
        <w:t xml:space="preserve">A person granted an occupational license under this subsection may not be ordered</w:t>
      </w:r>
      <w:r>
        <w:rPr>
          <w:u w:val="single"/>
        </w:rPr>
        <w:t xml:space="preserve">, under Section 521.2462,</w:t>
      </w:r>
      <w:r>
        <w:t xml:space="preserve"> to submit to the supervision of the local community supervision and corrections department </w:t>
      </w:r>
      <w:r>
        <w:rPr>
          <w:u w:val="single"/>
        </w:rPr>
        <w:t xml:space="preserve">or a personal bond office established under Article 17.42, Code of Criminal Procedure</w:t>
      </w:r>
      <w:r>
        <w:t xml:space="preserve"> [</w:t>
      </w:r>
      <w:r>
        <w:rPr>
          <w:strike/>
        </w:rPr>
        <w:t xml:space="preserve">under Section 521.2462</w:t>
      </w:r>
      <w:r>
        <w:t xml:space="preserve">], unless the order is entered by a court of record.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76.015, Government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This section does not apply to an individual ordered to pay an administrative fee to a personal bond office under Section 521.2462(a-3), Transportation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to Section 521.2462, Transportation Code, applies to an order issued under that section on or after the effective date of this Act, regardless of whether the underlying offense giving rise to the order was committed before,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156 was passed by the House on April 24, 2019, by the following vote:</w:t>
      </w:r>
      <w:r xml:space="preserve">
        <w:t> </w:t>
      </w:r>
      <w:r xml:space="preserve">
        <w:t> </w:t>
      </w:r>
      <w:r>
        <w:t xml:space="preserve">Yeas 132,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156 was passed by the Senate on May 15,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