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Thompson of Harris</w:t>
      </w:r>
      <w:r xml:space="preserve">
        <w:tab wTab="150" tlc="none" cTlc="0"/>
      </w:r>
      <w:r>
        <w:t xml:space="preserve">H.B.</w:t>
      </w:r>
      <w:r xml:space="preserve">
        <w:t> </w:t>
      </w:r>
      <w:r>
        <w:t xml:space="preserve">No.</w:t>
      </w:r>
      <w:r xml:space="preserve">
        <w:t> </w:t>
      </w:r>
      <w:r>
        <w:t xml:space="preserve">156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Rodríguez)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supervision by a personal bond office of individuals granted an occupational driver's license; providing for an administrative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521.2462, Transportation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court granting an occupational license under this subchapter may order the person receiving the license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submit to supervision </w:t>
      </w:r>
      <w:r>
        <w:rPr>
          <w:u w:val="single"/>
        </w:rPr>
        <w:t xml:space="preserve">for the purpose of verifying the person's</w:t>
      </w:r>
      <w:r>
        <w:t xml:space="preserve"> [</w:t>
      </w:r>
      <w:r>
        <w:rPr>
          <w:strike/>
        </w:rPr>
        <w:t xml:space="preserve">by the local community supervision and corrections department to verify</w:t>
      </w:r>
      <w:r>
        <w:t xml:space="preserve">] compliance with the conditions specified by the order granting the license, including the conditions specified in accordance with Section 521.248</w:t>
      </w:r>
      <w:r>
        <w:rPr>
          <w:u w:val="single"/>
        </w:rPr>
        <w:t xml:space="preserve">.</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may order the supervision of the person to be conducted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community supervision and corrections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bond office established under Article 17.42, Code of Criminal Procedure.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court orders the person's supervision to be conducted by the local community supervision and corrections department, the court shall order the person to</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a monthly administrative fee under Section 76.015, Government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521.251(d-1),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Notwithstanding Subsections (b), (c), and (d), the court may issue an occupational license to a person if the person submits proof the person has an ignition interlock device installed on each motor vehicle owned or operated by the person. </w:t>
      </w:r>
      <w:r>
        <w:t xml:space="preserve"> </w:t>
      </w:r>
      <w:r>
        <w:t xml:space="preserve">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w:t>
      </w:r>
      <w:r>
        <w:t xml:space="preserve"> </w:t>
      </w:r>
      <w:r>
        <w:t xml:space="preserve">A person granted an occupational license under this subsection may not be ordered</w:t>
      </w:r>
      <w:r>
        <w:rPr>
          <w:u w:val="single"/>
        </w:rPr>
        <w:t xml:space="preserve">, under Section 521.2462,</w:t>
      </w:r>
      <w:r>
        <w:t xml:space="preserve"> to submit to the supervision of the local community supervision and corrections department </w:t>
      </w:r>
      <w:r>
        <w:rPr>
          <w:u w:val="single"/>
        </w:rPr>
        <w:t xml:space="preserve">or a personal bond office established under Article 17.42, Code of Criminal Procedure</w:t>
      </w:r>
      <w:r>
        <w:t xml:space="preserve"> [</w:t>
      </w:r>
      <w:r>
        <w:rPr>
          <w:strike/>
        </w:rPr>
        <w:t xml:space="preserve">under Section 521.2462</w:t>
      </w:r>
      <w:r>
        <w:t xml:space="preserve">], unless the order is entered by a court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76.015,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an individual ordered to pay an administrative fee to a personal bond office under Section 521.2462(a-3),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