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previous convictions for enhancing the criminal penalty for certain subsequent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Penal Code, is amended by adding Section 12.415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12.415.</w:t>
      </w:r>
      <w:r>
        <w:rPr>
          <w:u w:val="single"/>
        </w:rPr>
        <w:t xml:space="preserve"> </w:t>
      </w:r>
      <w:r>
        <w:rPr>
          <w:u w:val="single"/>
        </w:rPr>
        <w:t xml:space="preserve"> </w:t>
      </w:r>
      <w:r>
        <w:rPr>
          <w:u w:val="single"/>
        </w:rPr>
        <w:t xml:space="preserve">CLASSIFICATION OF CERTAIN PREVIOUS OFFENSES FOR PURPOSES OF SUBSEQUENT ENHANCEMENT.  (a)  This section applies only to an offense for which the penalty was enhanced as the result of a previous conviction under the terms of a provision other than a provision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defendant's conviction of an offense described by Subsection (a) may be used to enhance the penalty for a subsequent offense for purposes of this subchapter based only on the class or degree of offense that would have otherwise applied to the offense described by Subsection (a) if the state had not proved the previous conviction.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enhancement of punishment under Subchapter D, Chapter 12, Penal Code, for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