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86R1070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waiver of governmental immunity of a county or sheriff's department for claims arising from a final decision of certain civil service commissions.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158, Local Government Code, is amended by adding Section 158.016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158.016.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WAIVED.  (a) </w:t>
      </w:r>
      <w:r>
        <w:rPr>
          <w:u w:val="single"/>
        </w:rPr>
        <w:t xml:space="preserve"> </w:t>
      </w:r>
      <w:r>
        <w:rPr>
          <w:u w:val="single"/>
        </w:rPr>
        <w:t xml:space="preserve">An employee may file suit in district court for a writ of mandamus to compel the county or, if applicable, the sheriff's department of the county that employs the employee to comply with a final decision of the commission established for the county or an order of a district court under Section 158.012 that awards back pay or another monetary benefit to the employee.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of a county or a sheriff's department, as applicable, from suit and liability is waived only to the extent necessary to enforce the final decision or order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award reasonable attorney's fees and court costs to the prevailing party in a suit brought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158, Local Government Code, is amended by adding Section 158.041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158.041.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WAIVED.  (a) </w:t>
      </w:r>
      <w:r>
        <w:rPr>
          <w:u w:val="single"/>
        </w:rPr>
        <w:t xml:space="preserve"> </w:t>
      </w:r>
      <w:r>
        <w:rPr>
          <w:u w:val="single"/>
        </w:rPr>
        <w:t xml:space="preserve">An employee may file suit in district court for a writ of mandamus to compel the county and the sheriff's department of the county that employs the employee to comply with a final decision of the commission established for the county or an order of a district court under Section 158.037 that awards back pay or another monetary benefit to the employee.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of a county or a sheriff's department, as applicable, from suit and liability is waived only to the extent necessary to enforce the final decision or order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award reasonable attorney's fees and court costs to the prevailing party in a suit brought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final decision of a civil service commission or an order of a district court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