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86R3109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procedure for rearrest and adjustment of the bond amount in certain criminal cases.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4, Article 17.09,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4.</w:t>
      </w:r>
      <w:r xml:space="preserve">
        <w:t> </w:t>
      </w:r>
      <w:r xml:space="preserve">
        <w:t> 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Notwithstanding any other provision of this article, the judge or magistrate in whose court a criminal action is pending may not order the accused to be rearrested or require the accused to give another bond in a higher amount because the accused: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withdraws a waiver of the right to counsel;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requests the assistance of counsel, appointed or retained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formally charged with the same offense for which the accused was initially arrested and bond was given, except as provided by Subsection 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judge or magistrate may order the accused to be rearrested or require the accused to give another bond in a higher amount based on the circumstance described by Subsection (a)(3) only after providing notice to each party to the action and, on request of any party, an opportunity for a hearing.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