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suspending the driver's licenses of certain persons convicted of driving while intoxicated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while the person's license was suspended, canceled, disqualified, or revoked </w:t>
      </w:r>
      <w:r>
        <w:rPr>
          <w:u w:val="single"/>
        </w:rPr>
        <w:t xml:space="preserve">as the result of a conviction of an offense involving the operation of a motor vehicle while intoxicated;</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without a license after an application for a license was denied </w:t>
      </w:r>
      <w:r>
        <w:rPr>
          <w:u w:val="single"/>
        </w:rPr>
        <w:t xml:space="preserve">as the result of a conviction of an offense involving the operation of a motor vehicle while intoxicated</w:t>
      </w:r>
      <w:r>
        <w:t xml:space="preserve">;</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determination to suspend a driver's license made by the Department of Public Safety on or after the effective date of this Act. </w:t>
      </w:r>
      <w:r>
        <w:t xml:space="preserve"> </w:t>
      </w:r>
      <w:r>
        <w:t xml:space="preserve">A determination to suspend a driver's license made before the effective date of this Act is governed by the law in effect when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