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86R1500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for endorsements for public high school students enrolled in special education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28.025, Education Code, is amended by adding Subsections (c-7) and (c-8)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(c-8), a student who is enrolled in a special education program under Subchapter A, Chapter 29, may earn an endorsement on the student's transcript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successfully completing, with or without modification of the curriculum: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curriculum requirements identified by the State Board of Education under Subsection (a);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additional endorsement curriculum requirements prescribed by the State Board of Education under Subsection (c-2);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successfully completing all curriculum requirements for that endorsement adopted by the State Board of Education: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without modification of the curriculum;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modification of the curriculum, provided that the curriculum, as modified, is sufficiently rigorous as determined by the student's admission, review, and dismissal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(c-7), the admission, review, and dismissal committee of a student in a special education program under Subchapter A, Chapter 29, shall determine whether the student is required to achieve satisfactory performance on an end-of-course assessment instrument to earn an endorsement on the student's transcript.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